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2068B" w14:textId="01CBC5EB" w:rsidR="00047AE1" w:rsidRDefault="00017744">
      <w:pPr>
        <w:rPr>
          <w:b/>
          <w:bCs/>
          <w:sz w:val="28"/>
          <w:szCs w:val="28"/>
        </w:rPr>
      </w:pPr>
      <w:bookmarkStart w:id="0" w:name="_GoBack"/>
      <w:bookmarkEnd w:id="0"/>
      <w:r w:rsidRPr="00017744">
        <w:rPr>
          <w:b/>
          <w:bCs/>
          <w:noProof/>
          <w:sz w:val="28"/>
          <w:szCs w:val="28"/>
          <w:lang w:eastAsia="en-GB"/>
        </w:rPr>
        <w:drawing>
          <wp:anchor distT="0" distB="0" distL="114300" distR="114300" simplePos="0" relativeHeight="251658240" behindDoc="0" locked="0" layoutInCell="1" allowOverlap="1" wp14:anchorId="017478B5" wp14:editId="048C12FA">
            <wp:simplePos x="0" y="0"/>
            <wp:positionH relativeFrom="margin">
              <wp:align>left</wp:align>
            </wp:positionH>
            <wp:positionV relativeFrom="paragraph">
              <wp:posOffset>0</wp:posOffset>
            </wp:positionV>
            <wp:extent cx="2455333" cy="685800"/>
            <wp:effectExtent l="19050" t="19050" r="21590" b="19050"/>
            <wp:wrapSquare wrapText="bothSides"/>
            <wp:docPr id="100642475"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2475" name="Picture 1" descr="A logo with text on i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55333" cy="68580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1E485A65" w14:textId="73658072" w:rsidR="00047AE1" w:rsidRDefault="00047AE1">
      <w:pPr>
        <w:rPr>
          <w:b/>
          <w:bCs/>
          <w:sz w:val="28"/>
          <w:szCs w:val="28"/>
        </w:rPr>
      </w:pPr>
    </w:p>
    <w:p w14:paraId="563CE7E1" w14:textId="77777777" w:rsidR="00B31DCF" w:rsidRDefault="00B31DCF">
      <w:pPr>
        <w:rPr>
          <w:b/>
          <w:bCs/>
          <w:sz w:val="28"/>
          <w:szCs w:val="28"/>
        </w:rPr>
      </w:pPr>
    </w:p>
    <w:p w14:paraId="6B4BDBC9" w14:textId="77777777" w:rsidR="00B31DCF" w:rsidRDefault="00B31DCF">
      <w:pPr>
        <w:rPr>
          <w:b/>
          <w:bCs/>
          <w:sz w:val="28"/>
          <w:szCs w:val="28"/>
        </w:rPr>
      </w:pPr>
    </w:p>
    <w:p w14:paraId="69B8C375" w14:textId="799885A4" w:rsidR="003E2EEE" w:rsidRPr="00F725D0" w:rsidRDefault="00F40A72">
      <w:pPr>
        <w:rPr>
          <w:b/>
          <w:bCs/>
          <w:sz w:val="28"/>
          <w:szCs w:val="28"/>
        </w:rPr>
      </w:pPr>
      <w:r w:rsidRPr="00F725D0">
        <w:rPr>
          <w:b/>
          <w:bCs/>
          <w:sz w:val="28"/>
          <w:szCs w:val="28"/>
        </w:rPr>
        <w:t xml:space="preserve">Model </w:t>
      </w:r>
      <w:r w:rsidR="0022315B">
        <w:rPr>
          <w:b/>
          <w:bCs/>
          <w:sz w:val="28"/>
          <w:szCs w:val="28"/>
        </w:rPr>
        <w:t>s</w:t>
      </w:r>
      <w:r w:rsidR="0030016F">
        <w:rPr>
          <w:b/>
          <w:bCs/>
          <w:sz w:val="28"/>
          <w:szCs w:val="28"/>
        </w:rPr>
        <w:t>ummer</w:t>
      </w:r>
      <w:r w:rsidRPr="00F725D0">
        <w:rPr>
          <w:b/>
          <w:bCs/>
          <w:sz w:val="28"/>
          <w:szCs w:val="28"/>
        </w:rPr>
        <w:t xml:space="preserve"> term agenda 202</w:t>
      </w:r>
      <w:r w:rsidR="00025453">
        <w:rPr>
          <w:b/>
          <w:bCs/>
          <w:sz w:val="28"/>
          <w:szCs w:val="28"/>
        </w:rPr>
        <w:t>6</w:t>
      </w:r>
      <w:r w:rsidR="00047AE1">
        <w:fldChar w:fldCharType="begin"/>
      </w:r>
      <w:r w:rsidR="00C12973">
        <w:instrText xml:space="preserve"> INCLUDEPICTURE "C:\\Users\\iwonabainbridge\\Library\\Group Containers\\UBF8T346G9.ms\\WebArchiveCopyPasteTempFiles\\com.microsoft.Word\\ECAlogo.jpg" \* MERGEFORMAT </w:instrText>
      </w:r>
      <w:r w:rsidR="00047AE1">
        <w:fldChar w:fldCharType="end"/>
      </w:r>
    </w:p>
    <w:p w14:paraId="0393DF2E" w14:textId="77777777" w:rsidR="00F40A72" w:rsidRDefault="00F40A72"/>
    <w:p w14:paraId="1C7E54B4" w14:textId="723A7DD5" w:rsidR="00F40A72" w:rsidRPr="00F725D0" w:rsidRDefault="00F40A72" w:rsidP="00F40A72">
      <w:pPr>
        <w:rPr>
          <w:i/>
          <w:color w:val="0070C0"/>
          <w:sz w:val="22"/>
          <w:szCs w:val="22"/>
        </w:rPr>
      </w:pPr>
      <w:r w:rsidRPr="00F725D0">
        <w:rPr>
          <w:i/>
          <w:color w:val="0070C0"/>
          <w:sz w:val="22"/>
          <w:szCs w:val="22"/>
        </w:rPr>
        <w:t>Please note that your agenda will vary depending on the structure your governing board adopted. Please amend as appropriate for maintained schools and academies. As a Clerk/Governance Professional you should refer to the Governing Board Year Planner prior to drafting the agenda.</w:t>
      </w:r>
    </w:p>
    <w:p w14:paraId="35F24CF0" w14:textId="77777777" w:rsidR="00F40A72" w:rsidRDefault="00F40A72"/>
    <w:p w14:paraId="47212327" w14:textId="6BFC1AF7" w:rsidR="00F40A72" w:rsidRDefault="00F40A72">
      <w:r>
        <w:t>Name of School:</w:t>
      </w:r>
    </w:p>
    <w:p w14:paraId="32EB11DF" w14:textId="3FDD08F5" w:rsidR="00F40A72" w:rsidRDefault="00F40A72">
      <w:r>
        <w:t>Address:</w:t>
      </w:r>
    </w:p>
    <w:p w14:paraId="235AE422" w14:textId="77777777" w:rsidR="00F40A72" w:rsidRDefault="00F40A72"/>
    <w:p w14:paraId="113F0E1C" w14:textId="2AFA2E19" w:rsidR="00F40A72" w:rsidRPr="00020983" w:rsidRDefault="0022315B">
      <w:pPr>
        <w:rPr>
          <w:b/>
          <w:bCs/>
        </w:rPr>
      </w:pPr>
      <w:r>
        <w:rPr>
          <w:b/>
          <w:bCs/>
        </w:rPr>
        <w:t>S</w:t>
      </w:r>
      <w:r w:rsidR="0030016F">
        <w:rPr>
          <w:b/>
          <w:bCs/>
        </w:rPr>
        <w:t>ummer</w:t>
      </w:r>
      <w:r>
        <w:rPr>
          <w:b/>
          <w:bCs/>
        </w:rPr>
        <w:t xml:space="preserve"> </w:t>
      </w:r>
      <w:r w:rsidR="00F40A72" w:rsidRPr="00020983">
        <w:rPr>
          <w:b/>
          <w:bCs/>
        </w:rPr>
        <w:t>term meeting of the Governing Board/Board of Trustees/Local Governing Body agenda</w:t>
      </w:r>
    </w:p>
    <w:p w14:paraId="1A3ADE50" w14:textId="77777777" w:rsidR="00F40A72" w:rsidRDefault="00F40A72"/>
    <w:p w14:paraId="5073F9FB" w14:textId="0F288683" w:rsidR="00F40A72" w:rsidRDefault="00F40A72">
      <w:r>
        <w:t>Date:</w:t>
      </w:r>
    </w:p>
    <w:p w14:paraId="0C934737" w14:textId="3FDB0B1C" w:rsidR="00F40A72" w:rsidRDefault="00F40A72">
      <w:r>
        <w:t>Time:</w:t>
      </w:r>
    </w:p>
    <w:p w14:paraId="0826D7FF" w14:textId="4D2779A7" w:rsidR="00F40A72" w:rsidRDefault="00F40A72">
      <w:r>
        <w:t>Place:</w:t>
      </w:r>
    </w:p>
    <w:p w14:paraId="195E2C68" w14:textId="49CA717B" w:rsidR="00F40A72" w:rsidRDefault="00F40A72">
      <w:r>
        <w:t>Clerk/Governance Professional:</w:t>
      </w:r>
    </w:p>
    <w:p w14:paraId="51C3E25D" w14:textId="77777777" w:rsidR="00F40A72" w:rsidRDefault="00F40A72"/>
    <w:p w14:paraId="5DE33135" w14:textId="6790A822" w:rsidR="00F40A72" w:rsidRPr="00F725D0" w:rsidRDefault="00F40A72">
      <w:pPr>
        <w:rPr>
          <w:i/>
          <w:iCs/>
        </w:rPr>
      </w:pPr>
      <w:r>
        <w:t>Note: Please note that all supporting documents are available to view and download in</w:t>
      </w:r>
      <w:r w:rsidR="00F725D0">
        <w:t>/from</w:t>
      </w:r>
      <w:r>
        <w:t xml:space="preserve"> </w:t>
      </w:r>
      <w:r w:rsidRPr="00F725D0">
        <w:rPr>
          <w:i/>
          <w:iCs/>
        </w:rPr>
        <w:t>(indicate the platform/system you are using)</w:t>
      </w:r>
    </w:p>
    <w:p w14:paraId="4AB51F03" w14:textId="77777777" w:rsidR="00F40A72" w:rsidRDefault="00F40A72"/>
    <w:tbl>
      <w:tblPr>
        <w:tblStyle w:val="TableGrid"/>
        <w:tblW w:w="9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612"/>
      </w:tblGrid>
      <w:tr w:rsidR="00F40A72" w14:paraId="6FC1AD10" w14:textId="77777777" w:rsidTr="00C024C0">
        <w:tc>
          <w:tcPr>
            <w:tcW w:w="567" w:type="dxa"/>
          </w:tcPr>
          <w:p w14:paraId="1F02407F" w14:textId="5CCC8223" w:rsidR="00F40A72" w:rsidRPr="00F725D0" w:rsidRDefault="00F40A72">
            <w:pPr>
              <w:rPr>
                <w:b/>
                <w:bCs/>
              </w:rPr>
            </w:pPr>
            <w:r w:rsidRPr="00F725D0">
              <w:rPr>
                <w:b/>
                <w:bCs/>
              </w:rPr>
              <w:t>1.</w:t>
            </w:r>
          </w:p>
        </w:tc>
        <w:tc>
          <w:tcPr>
            <w:tcW w:w="8612" w:type="dxa"/>
          </w:tcPr>
          <w:p w14:paraId="1BB28104" w14:textId="77777777" w:rsidR="00F40A72" w:rsidRPr="00F725D0" w:rsidRDefault="00F40A72">
            <w:pPr>
              <w:rPr>
                <w:b/>
                <w:bCs/>
              </w:rPr>
            </w:pPr>
            <w:r w:rsidRPr="00F725D0">
              <w:rPr>
                <w:b/>
                <w:bCs/>
              </w:rPr>
              <w:t>WELCOME, APOLOGIES AND REASONS FOR ABSENCE</w:t>
            </w:r>
          </w:p>
          <w:p w14:paraId="36607E14" w14:textId="77777777" w:rsidR="00F40A72" w:rsidRDefault="00F40A72">
            <w:r>
              <w:t xml:space="preserve">To receive apologies for absence. </w:t>
            </w:r>
          </w:p>
          <w:p w14:paraId="39BDACE5" w14:textId="77777777" w:rsidR="00F40A72" w:rsidRDefault="00F40A72"/>
          <w:p w14:paraId="2F355BAA" w14:textId="386396F7" w:rsidR="00F40A72" w:rsidRDefault="00F40A72" w:rsidP="00F40A72">
            <w:pPr>
              <w:rPr>
                <w:sz w:val="20"/>
                <w:szCs w:val="20"/>
              </w:rPr>
            </w:pPr>
            <w:r w:rsidRPr="00093798">
              <w:rPr>
                <w:sz w:val="20"/>
                <w:szCs w:val="20"/>
                <w:u w:val="single"/>
              </w:rPr>
              <w:t>Note:</w:t>
            </w:r>
            <w:r w:rsidRPr="00093798">
              <w:rPr>
                <w:sz w:val="20"/>
                <w:szCs w:val="20"/>
              </w:rPr>
              <w:t xml:space="preserve"> Any governor</w:t>
            </w:r>
            <w:r>
              <w:rPr>
                <w:sz w:val="20"/>
                <w:szCs w:val="20"/>
              </w:rPr>
              <w:t>/trustee</w:t>
            </w:r>
            <w:r w:rsidRPr="00093798">
              <w:rPr>
                <w:sz w:val="20"/>
                <w:szCs w:val="20"/>
              </w:rPr>
              <w:t xml:space="preserve"> who, without the consent of the governing board, fails to attend governing board meetings for a </w:t>
            </w:r>
            <w:r w:rsidR="0022315B">
              <w:rPr>
                <w:sz w:val="20"/>
                <w:szCs w:val="20"/>
              </w:rPr>
              <w:t xml:space="preserve">continuous </w:t>
            </w:r>
            <w:r w:rsidRPr="00093798">
              <w:rPr>
                <w:sz w:val="20"/>
                <w:szCs w:val="20"/>
              </w:rPr>
              <w:t>period of six months after their first absence is disqualified from continuing as a governor</w:t>
            </w:r>
            <w:r>
              <w:rPr>
                <w:sz w:val="20"/>
                <w:szCs w:val="20"/>
              </w:rPr>
              <w:t>/trustee.</w:t>
            </w:r>
            <w:r w:rsidRPr="00093798">
              <w:rPr>
                <w:sz w:val="20"/>
                <w:szCs w:val="20"/>
              </w:rPr>
              <w:t xml:space="preserve"> The governing board may decline to accept apologies for absence from a governor</w:t>
            </w:r>
            <w:r>
              <w:rPr>
                <w:sz w:val="20"/>
                <w:szCs w:val="20"/>
              </w:rPr>
              <w:t>/trustee,</w:t>
            </w:r>
            <w:r w:rsidRPr="00093798">
              <w:rPr>
                <w:sz w:val="20"/>
                <w:szCs w:val="20"/>
              </w:rPr>
              <w:t xml:space="preserve"> but if apologies are accepted, then the governing board has consented to the absence, and the six-month disqualification rule does not apply.</w:t>
            </w:r>
            <w:r>
              <w:rPr>
                <w:sz w:val="20"/>
                <w:szCs w:val="20"/>
              </w:rPr>
              <w:t xml:space="preserve"> </w:t>
            </w:r>
            <w:r w:rsidRPr="00093798">
              <w:rPr>
                <w:sz w:val="20"/>
                <w:szCs w:val="20"/>
              </w:rPr>
              <w:t>[Schedule 4 para 9 of The School Governance (Constitution)(England) Regulations 2012 and Article 70 of the Model Articles of Association]</w:t>
            </w:r>
          </w:p>
          <w:p w14:paraId="73CF9C6E" w14:textId="77777777" w:rsidR="0022315B" w:rsidRDefault="0022315B" w:rsidP="00F40A72">
            <w:pPr>
              <w:rPr>
                <w:sz w:val="20"/>
                <w:szCs w:val="20"/>
              </w:rPr>
            </w:pPr>
          </w:p>
          <w:p w14:paraId="1719D771" w14:textId="7F05492B" w:rsidR="0022315B" w:rsidRDefault="0022315B" w:rsidP="00F40A72">
            <w:pPr>
              <w:rPr>
                <w:sz w:val="20"/>
                <w:szCs w:val="20"/>
              </w:rPr>
            </w:pPr>
            <w:r>
              <w:rPr>
                <w:sz w:val="20"/>
                <w:szCs w:val="20"/>
              </w:rPr>
              <w:t>Acceptance or Decline of Apologies:</w:t>
            </w:r>
          </w:p>
          <w:p w14:paraId="6C1C5943" w14:textId="77777777" w:rsidR="0022315B" w:rsidRDefault="0022315B" w:rsidP="00F40A72">
            <w:pPr>
              <w:rPr>
                <w:sz w:val="20"/>
                <w:szCs w:val="20"/>
              </w:rPr>
            </w:pPr>
          </w:p>
          <w:p w14:paraId="104FFE95" w14:textId="30764D6C" w:rsidR="0022315B" w:rsidRPr="0022315B" w:rsidRDefault="0022315B" w:rsidP="0022315B">
            <w:pPr>
              <w:pStyle w:val="ListParagraph"/>
              <w:numPr>
                <w:ilvl w:val="0"/>
                <w:numId w:val="9"/>
              </w:numPr>
              <w:rPr>
                <w:sz w:val="20"/>
                <w:szCs w:val="20"/>
              </w:rPr>
            </w:pPr>
            <w:r w:rsidRPr="0022315B">
              <w:rPr>
                <w:sz w:val="20"/>
                <w:szCs w:val="20"/>
              </w:rPr>
              <w:t>If a governing board declines to accept apologies for absence, it has not consented to the absence. Consequently, the six-month rule would apply from the date of the first absence.</w:t>
            </w:r>
          </w:p>
          <w:p w14:paraId="1AB60430" w14:textId="4DCF6AA0" w:rsidR="0022315B" w:rsidRPr="0022315B" w:rsidRDefault="0022315B" w:rsidP="0022315B">
            <w:pPr>
              <w:pStyle w:val="ListParagraph"/>
              <w:numPr>
                <w:ilvl w:val="0"/>
                <w:numId w:val="9"/>
              </w:numPr>
              <w:rPr>
                <w:sz w:val="20"/>
                <w:szCs w:val="20"/>
              </w:rPr>
            </w:pPr>
            <w:r w:rsidRPr="0022315B">
              <w:rPr>
                <w:sz w:val="20"/>
                <w:szCs w:val="20"/>
              </w:rPr>
              <w:t>If the governing board accepts apologies, this is considered as gra</w:t>
            </w:r>
            <w:r w:rsidR="005320B4">
              <w:rPr>
                <w:sz w:val="20"/>
                <w:szCs w:val="20"/>
              </w:rPr>
              <w:t>n</w:t>
            </w:r>
            <w:r w:rsidRPr="0022315B">
              <w:rPr>
                <w:sz w:val="20"/>
                <w:szCs w:val="20"/>
              </w:rPr>
              <w:t xml:space="preserve">ting consent, and the six-month disqualification rule does not apply. </w:t>
            </w:r>
          </w:p>
          <w:p w14:paraId="4B3505D1" w14:textId="77777777" w:rsidR="0022315B" w:rsidRDefault="0022315B" w:rsidP="00F40A72">
            <w:pPr>
              <w:rPr>
                <w:sz w:val="20"/>
                <w:szCs w:val="20"/>
              </w:rPr>
            </w:pPr>
          </w:p>
          <w:p w14:paraId="7722E344" w14:textId="1C5C5E28" w:rsidR="0022315B" w:rsidRDefault="0022315B" w:rsidP="00F40A72">
            <w:pPr>
              <w:rPr>
                <w:sz w:val="20"/>
                <w:szCs w:val="20"/>
              </w:rPr>
            </w:pPr>
            <w:r>
              <w:rPr>
                <w:sz w:val="20"/>
                <w:szCs w:val="20"/>
              </w:rPr>
              <w:t>Additional Considerations:</w:t>
            </w:r>
          </w:p>
          <w:p w14:paraId="5C1FE376" w14:textId="77777777" w:rsidR="0022315B" w:rsidRDefault="0022315B" w:rsidP="00F40A72">
            <w:pPr>
              <w:rPr>
                <w:sz w:val="20"/>
                <w:szCs w:val="20"/>
              </w:rPr>
            </w:pPr>
          </w:p>
          <w:p w14:paraId="3D626E25" w14:textId="75E7912B" w:rsidR="0022315B" w:rsidRDefault="0022315B" w:rsidP="00F40A72">
            <w:pPr>
              <w:rPr>
                <w:sz w:val="20"/>
                <w:szCs w:val="20"/>
              </w:rPr>
            </w:pPr>
            <w:r w:rsidRPr="0022315B">
              <w:rPr>
                <w:b/>
                <w:bCs/>
                <w:sz w:val="20"/>
                <w:szCs w:val="20"/>
              </w:rPr>
              <w:t>Clarity in minutes</w:t>
            </w:r>
            <w:r>
              <w:rPr>
                <w:sz w:val="20"/>
                <w:szCs w:val="20"/>
              </w:rPr>
              <w:t xml:space="preserve"> – it’s </w:t>
            </w:r>
            <w:r w:rsidR="00634335">
              <w:rPr>
                <w:sz w:val="20"/>
                <w:szCs w:val="20"/>
              </w:rPr>
              <w:t>a requirement</w:t>
            </w:r>
            <w:r>
              <w:rPr>
                <w:sz w:val="20"/>
                <w:szCs w:val="20"/>
              </w:rPr>
              <w:t xml:space="preserve"> for the governing </w:t>
            </w:r>
            <w:r w:rsidR="00634335">
              <w:rPr>
                <w:sz w:val="20"/>
                <w:szCs w:val="20"/>
              </w:rPr>
              <w:t>boa</w:t>
            </w:r>
            <w:r>
              <w:rPr>
                <w:sz w:val="20"/>
                <w:szCs w:val="20"/>
              </w:rPr>
              <w:t>rd to record whether apologies are accepted or declined in the minutes of the meeting.</w:t>
            </w:r>
          </w:p>
          <w:p w14:paraId="18227EAA" w14:textId="6A91C9FB" w:rsidR="0022315B" w:rsidRDefault="0022315B" w:rsidP="00F40A72">
            <w:pPr>
              <w:rPr>
                <w:sz w:val="20"/>
                <w:szCs w:val="20"/>
              </w:rPr>
            </w:pPr>
            <w:r w:rsidRPr="0022315B">
              <w:rPr>
                <w:b/>
                <w:bCs/>
                <w:sz w:val="20"/>
                <w:szCs w:val="20"/>
              </w:rPr>
              <w:t xml:space="preserve">Exceptions </w:t>
            </w:r>
            <w:r>
              <w:rPr>
                <w:sz w:val="20"/>
                <w:szCs w:val="20"/>
              </w:rPr>
              <w:t xml:space="preserve">– some specific circumstances such as long-term illness might be handled differently, depending on the board’s policies and decisions. </w:t>
            </w:r>
          </w:p>
          <w:p w14:paraId="6B3C7D93" w14:textId="77777777" w:rsidR="0022315B" w:rsidRDefault="0022315B" w:rsidP="00F40A72">
            <w:pPr>
              <w:rPr>
                <w:sz w:val="20"/>
                <w:szCs w:val="20"/>
              </w:rPr>
            </w:pPr>
          </w:p>
          <w:p w14:paraId="2EABA029" w14:textId="77777777" w:rsidR="0022315B" w:rsidRDefault="0022315B" w:rsidP="00F40A72">
            <w:pPr>
              <w:rPr>
                <w:sz w:val="20"/>
                <w:szCs w:val="20"/>
              </w:rPr>
            </w:pPr>
          </w:p>
          <w:p w14:paraId="7C4DA7D8" w14:textId="77777777" w:rsidR="0022315B" w:rsidRPr="00093798" w:rsidRDefault="0022315B" w:rsidP="00F40A72">
            <w:pPr>
              <w:rPr>
                <w:sz w:val="20"/>
                <w:szCs w:val="20"/>
              </w:rPr>
            </w:pPr>
          </w:p>
          <w:p w14:paraId="34710B0C" w14:textId="2EBA8BD4" w:rsidR="00F40A72" w:rsidRDefault="00F40A72"/>
        </w:tc>
      </w:tr>
      <w:tr w:rsidR="00E66231" w14:paraId="4067C861" w14:textId="77777777" w:rsidTr="00C024C0">
        <w:tc>
          <w:tcPr>
            <w:tcW w:w="567" w:type="dxa"/>
          </w:tcPr>
          <w:p w14:paraId="54FD8401" w14:textId="6C463688" w:rsidR="00E66231" w:rsidRPr="00F725D0" w:rsidRDefault="00E66231">
            <w:pPr>
              <w:rPr>
                <w:b/>
                <w:bCs/>
              </w:rPr>
            </w:pPr>
            <w:r w:rsidRPr="00F725D0">
              <w:rPr>
                <w:b/>
                <w:bCs/>
              </w:rPr>
              <w:t>2.</w:t>
            </w:r>
          </w:p>
        </w:tc>
        <w:tc>
          <w:tcPr>
            <w:tcW w:w="8612" w:type="dxa"/>
          </w:tcPr>
          <w:p w14:paraId="25DBC4D4" w14:textId="77777777" w:rsidR="00E66231" w:rsidRPr="00F725D0" w:rsidRDefault="00E66231">
            <w:pPr>
              <w:rPr>
                <w:b/>
                <w:bCs/>
              </w:rPr>
            </w:pPr>
            <w:r w:rsidRPr="00F725D0">
              <w:rPr>
                <w:b/>
                <w:bCs/>
              </w:rPr>
              <w:t>NOTIFICATION OF ANY OTHER BUSINESS</w:t>
            </w:r>
          </w:p>
          <w:p w14:paraId="0284EFD9" w14:textId="685DFE7E" w:rsidR="00E66231" w:rsidRDefault="00E66231">
            <w:r w:rsidRPr="00B53533">
              <w:t>To note</w:t>
            </w:r>
            <w:r w:rsidR="0022315B">
              <w:t xml:space="preserve"> any</w:t>
            </w:r>
            <w:r w:rsidRPr="00B53533">
              <w:t xml:space="preserve"> late item</w:t>
            </w:r>
            <w:r>
              <w:t>s</w:t>
            </w:r>
            <w:r w:rsidRPr="00B53533">
              <w:t xml:space="preserve"> of business, not on the agenda, </w:t>
            </w:r>
            <w:r w:rsidR="0022315B">
              <w:t>that</w:t>
            </w:r>
            <w:r w:rsidRPr="00B53533">
              <w:t xml:space="preserve"> any </w:t>
            </w:r>
            <w:r w:rsidRPr="00B53533">
              <w:lastRenderedPageBreak/>
              <w:t>governor</w:t>
            </w:r>
            <w:r w:rsidR="00F725D0">
              <w:t>/trustee</w:t>
            </w:r>
            <w:r w:rsidRPr="00B53533">
              <w:t xml:space="preserve"> wishes to raise and to de</w:t>
            </w:r>
            <w:r w:rsidR="0022315B">
              <w:t>termine</w:t>
            </w:r>
            <w:r>
              <w:t>,</w:t>
            </w:r>
            <w:r w:rsidRPr="00B53533">
              <w:t xml:space="preserve"> </w:t>
            </w:r>
            <w:r w:rsidR="0022315B">
              <w:t>if</w:t>
            </w:r>
            <w:r w:rsidRPr="00B53533">
              <w:t xml:space="preserve"> the urgency of the</w:t>
            </w:r>
            <w:r w:rsidR="0022315B">
              <w:t>se</w:t>
            </w:r>
            <w:r w:rsidRPr="00B53533">
              <w:t xml:space="preserve"> matter</w:t>
            </w:r>
            <w:r w:rsidR="0022315B">
              <w:t>s</w:t>
            </w:r>
            <w:r w:rsidRPr="00B53533">
              <w:t xml:space="preserve"> warrant </w:t>
            </w:r>
            <w:r w:rsidR="0022315B">
              <w:t xml:space="preserve">their </w:t>
            </w:r>
            <w:r w:rsidRPr="00B53533">
              <w:t>consideration at this meeting.</w:t>
            </w:r>
          </w:p>
          <w:p w14:paraId="1CBE0237" w14:textId="4E6B74FD" w:rsidR="00E66231" w:rsidRDefault="00E66231"/>
        </w:tc>
      </w:tr>
      <w:tr w:rsidR="00E66231" w14:paraId="1759D63B" w14:textId="77777777" w:rsidTr="00C024C0">
        <w:tc>
          <w:tcPr>
            <w:tcW w:w="567" w:type="dxa"/>
          </w:tcPr>
          <w:p w14:paraId="12A533CE" w14:textId="79086D2A" w:rsidR="00E66231" w:rsidRPr="00F725D0" w:rsidRDefault="00E66231">
            <w:pPr>
              <w:rPr>
                <w:b/>
                <w:bCs/>
              </w:rPr>
            </w:pPr>
            <w:r w:rsidRPr="00F725D0">
              <w:rPr>
                <w:b/>
                <w:bCs/>
              </w:rPr>
              <w:lastRenderedPageBreak/>
              <w:t>3.</w:t>
            </w:r>
          </w:p>
        </w:tc>
        <w:tc>
          <w:tcPr>
            <w:tcW w:w="8612" w:type="dxa"/>
          </w:tcPr>
          <w:p w14:paraId="3AACDB9B" w14:textId="77777777" w:rsidR="00E66231" w:rsidRPr="00F725D0" w:rsidRDefault="00E66231">
            <w:pPr>
              <w:rPr>
                <w:b/>
                <w:bCs/>
              </w:rPr>
            </w:pPr>
            <w:r w:rsidRPr="00F725D0">
              <w:rPr>
                <w:b/>
                <w:bCs/>
              </w:rPr>
              <w:t>DECLARATIONS OF BUSINESS INTERESTS</w:t>
            </w:r>
          </w:p>
          <w:p w14:paraId="3F66F248" w14:textId="77777777" w:rsidR="00E66231" w:rsidRDefault="00E66231"/>
          <w:p w14:paraId="503C38DF" w14:textId="77777777" w:rsidR="00E66231" w:rsidRDefault="00E66231" w:rsidP="00E66231">
            <w:pPr>
              <w:pStyle w:val="ListParagraph"/>
              <w:numPr>
                <w:ilvl w:val="0"/>
                <w:numId w:val="1"/>
              </w:numPr>
            </w:pPr>
            <w:r>
              <w:t>To note any changes to be made to the Register of Business Interests.</w:t>
            </w:r>
          </w:p>
          <w:p w14:paraId="315EAD90" w14:textId="0D32DFE3" w:rsidR="00E66231" w:rsidRDefault="00E66231" w:rsidP="00E66231">
            <w:pPr>
              <w:pStyle w:val="ListParagraph"/>
              <w:numPr>
                <w:ilvl w:val="0"/>
                <w:numId w:val="1"/>
              </w:numPr>
            </w:pPr>
            <w:r>
              <w:t>To receive declarations</w:t>
            </w:r>
            <w:r w:rsidR="00634335">
              <w:t xml:space="preserve">/conflict </w:t>
            </w:r>
            <w:r>
              <w:t>of interest in relation to any matters to be considered during the meeting.</w:t>
            </w:r>
          </w:p>
          <w:p w14:paraId="18352C08" w14:textId="77777777" w:rsidR="00E66231" w:rsidRPr="00B53533" w:rsidRDefault="00E66231" w:rsidP="00E66231">
            <w:pPr>
              <w:pStyle w:val="ListParagraph"/>
              <w:numPr>
                <w:ilvl w:val="0"/>
                <w:numId w:val="1"/>
              </w:numPr>
            </w:pPr>
            <w:r>
              <w:t>To receive declarations of gifts and hospitality received or given.</w:t>
            </w:r>
          </w:p>
          <w:p w14:paraId="4AE6E3A8" w14:textId="77777777" w:rsidR="00E66231" w:rsidRPr="000A59F1" w:rsidRDefault="00E66231" w:rsidP="00E66231"/>
          <w:p w14:paraId="2B9ADF57" w14:textId="29C7B4C5" w:rsidR="00E66231" w:rsidRDefault="00E66231" w:rsidP="00E66231">
            <w:pPr>
              <w:rPr>
                <w:sz w:val="20"/>
                <w:szCs w:val="20"/>
              </w:rPr>
            </w:pPr>
            <w:r w:rsidRPr="000A59F1">
              <w:rPr>
                <w:sz w:val="20"/>
                <w:szCs w:val="20"/>
                <w:u w:val="single"/>
              </w:rPr>
              <w:t>Note:</w:t>
            </w:r>
            <w:r w:rsidRPr="000A59F1">
              <w:rPr>
                <w:sz w:val="20"/>
                <w:szCs w:val="20"/>
              </w:rPr>
              <w:t xml:space="preserve"> </w:t>
            </w:r>
            <w:r>
              <w:rPr>
                <w:sz w:val="20"/>
                <w:szCs w:val="20"/>
              </w:rPr>
              <w:t xml:space="preserve">Academy trusts </w:t>
            </w:r>
            <w:r w:rsidR="0022315B">
              <w:rPr>
                <w:sz w:val="20"/>
                <w:szCs w:val="20"/>
              </w:rPr>
              <w:t>must</w:t>
            </w:r>
            <w:r>
              <w:rPr>
                <w:sz w:val="20"/>
                <w:szCs w:val="20"/>
              </w:rPr>
              <w:t xml:space="preserve"> have a policy and </w:t>
            </w:r>
            <w:r w:rsidR="0022315B">
              <w:rPr>
                <w:sz w:val="20"/>
                <w:szCs w:val="20"/>
              </w:rPr>
              <w:t xml:space="preserve">maintain a </w:t>
            </w:r>
            <w:r>
              <w:rPr>
                <w:sz w:val="20"/>
                <w:szCs w:val="20"/>
              </w:rPr>
              <w:t xml:space="preserve">register </w:t>
            </w:r>
            <w:r w:rsidR="0022315B">
              <w:rPr>
                <w:sz w:val="20"/>
                <w:szCs w:val="20"/>
              </w:rPr>
              <w:t>for</w:t>
            </w:r>
            <w:r>
              <w:rPr>
                <w:sz w:val="20"/>
                <w:szCs w:val="20"/>
              </w:rPr>
              <w:t xml:space="preserve"> the acceptance of gifts, hospitality, awards, prizes or other benefits that </w:t>
            </w:r>
            <w:r w:rsidR="0022315B">
              <w:rPr>
                <w:sz w:val="20"/>
                <w:szCs w:val="20"/>
              </w:rPr>
              <w:t>could compromise</w:t>
            </w:r>
            <w:r>
              <w:rPr>
                <w:sz w:val="20"/>
                <w:szCs w:val="20"/>
              </w:rPr>
              <w:t xml:space="preserve"> the judgement or integrity </w:t>
            </w:r>
            <w:r w:rsidR="0022315B">
              <w:rPr>
                <w:sz w:val="20"/>
                <w:szCs w:val="20"/>
              </w:rPr>
              <w:t>of individuals within the trust</w:t>
            </w:r>
            <w:r>
              <w:rPr>
                <w:sz w:val="20"/>
                <w:szCs w:val="20"/>
              </w:rPr>
              <w:t xml:space="preserve">. </w:t>
            </w:r>
            <w:r w:rsidR="0022315B">
              <w:rPr>
                <w:sz w:val="20"/>
                <w:szCs w:val="20"/>
              </w:rPr>
              <w:t xml:space="preserve">Trusts should ensure all staff </w:t>
            </w:r>
            <w:proofErr w:type="gramStart"/>
            <w:r w:rsidR="0022315B">
              <w:rPr>
                <w:sz w:val="20"/>
                <w:szCs w:val="20"/>
              </w:rPr>
              <w:t>are</w:t>
            </w:r>
            <w:proofErr w:type="gramEnd"/>
            <w:r w:rsidR="0022315B">
              <w:rPr>
                <w:sz w:val="20"/>
                <w:szCs w:val="20"/>
              </w:rPr>
              <w:t xml:space="preserve"> aware of this policy and its implications. </w:t>
            </w:r>
            <w:r>
              <w:rPr>
                <w:sz w:val="20"/>
                <w:szCs w:val="20"/>
              </w:rPr>
              <w:t>When making gifts, trust</w:t>
            </w:r>
            <w:r w:rsidR="0022315B">
              <w:rPr>
                <w:sz w:val="20"/>
                <w:szCs w:val="20"/>
              </w:rPr>
              <w:t>s</w:t>
            </w:r>
            <w:r>
              <w:rPr>
                <w:sz w:val="20"/>
                <w:szCs w:val="20"/>
              </w:rPr>
              <w:t xml:space="preserve"> must ensure</w:t>
            </w:r>
            <w:r w:rsidR="0022315B">
              <w:rPr>
                <w:sz w:val="20"/>
                <w:szCs w:val="20"/>
              </w:rPr>
              <w:t xml:space="preserve"> that</w:t>
            </w:r>
            <w:r>
              <w:rPr>
                <w:sz w:val="20"/>
                <w:szCs w:val="20"/>
              </w:rPr>
              <w:t xml:space="preserve"> the value is reasonable</w:t>
            </w:r>
            <w:r w:rsidR="0022315B">
              <w:rPr>
                <w:sz w:val="20"/>
                <w:szCs w:val="20"/>
              </w:rPr>
              <w:t xml:space="preserve"> and justifiable</w:t>
            </w:r>
            <w:r>
              <w:rPr>
                <w:sz w:val="20"/>
                <w:szCs w:val="20"/>
              </w:rPr>
              <w:t xml:space="preserve">, </w:t>
            </w:r>
            <w:r w:rsidR="0022315B">
              <w:rPr>
                <w:sz w:val="20"/>
                <w:szCs w:val="20"/>
              </w:rPr>
              <w:t>expenditure is within the trust’s</w:t>
            </w:r>
            <w:r>
              <w:rPr>
                <w:sz w:val="20"/>
                <w:szCs w:val="20"/>
              </w:rPr>
              <w:t xml:space="preserve"> scheme of delegation, the decision is </w:t>
            </w:r>
            <w:r w:rsidR="0022315B">
              <w:rPr>
                <w:sz w:val="20"/>
                <w:szCs w:val="20"/>
              </w:rPr>
              <w:t xml:space="preserve">properly </w:t>
            </w:r>
            <w:r w:rsidR="009038BD">
              <w:rPr>
                <w:sz w:val="20"/>
                <w:szCs w:val="20"/>
              </w:rPr>
              <w:t>documented,</w:t>
            </w:r>
            <w:r w:rsidR="00BD58CA">
              <w:rPr>
                <w:sz w:val="20"/>
                <w:szCs w:val="20"/>
              </w:rPr>
              <w:t xml:space="preserve"> and</w:t>
            </w:r>
            <w:r w:rsidR="0022315B">
              <w:rPr>
                <w:sz w:val="20"/>
                <w:szCs w:val="20"/>
              </w:rPr>
              <w:t xml:space="preserve"> the gift aligns with the principles </w:t>
            </w:r>
            <w:r w:rsidR="009038BD">
              <w:rPr>
                <w:sz w:val="20"/>
                <w:szCs w:val="20"/>
              </w:rPr>
              <w:t>of propriety</w:t>
            </w:r>
            <w:r>
              <w:rPr>
                <w:sz w:val="20"/>
                <w:szCs w:val="20"/>
              </w:rPr>
              <w:t xml:space="preserve"> and regularity in the use of public funds</w:t>
            </w:r>
            <w:r w:rsidR="00CF2676">
              <w:rPr>
                <w:sz w:val="20"/>
                <w:szCs w:val="20"/>
              </w:rPr>
              <w:t xml:space="preserve"> </w:t>
            </w:r>
            <w:r w:rsidR="00CF2676" w:rsidRPr="00BD58CA">
              <w:rPr>
                <w:sz w:val="20"/>
                <w:szCs w:val="20"/>
              </w:rPr>
              <w:t>– 5.32 of Academy Trust Handbook</w:t>
            </w:r>
            <w:r w:rsidR="00074919" w:rsidRPr="00BD58CA">
              <w:rPr>
                <w:sz w:val="20"/>
                <w:szCs w:val="20"/>
              </w:rPr>
              <w:t xml:space="preserve"> (ATH)</w:t>
            </w:r>
            <w:r w:rsidR="00CF2676" w:rsidRPr="00BD58CA">
              <w:rPr>
                <w:sz w:val="20"/>
                <w:szCs w:val="20"/>
              </w:rPr>
              <w:t xml:space="preserve"> 202</w:t>
            </w:r>
            <w:r w:rsidR="00BD58CA" w:rsidRPr="00BD58CA">
              <w:rPr>
                <w:sz w:val="20"/>
                <w:szCs w:val="20"/>
              </w:rPr>
              <w:t>4</w:t>
            </w:r>
            <w:r w:rsidR="00CF2676" w:rsidRPr="00BD58CA">
              <w:rPr>
                <w:sz w:val="20"/>
                <w:szCs w:val="20"/>
              </w:rPr>
              <w:t>.</w:t>
            </w:r>
            <w:r>
              <w:rPr>
                <w:sz w:val="20"/>
                <w:szCs w:val="20"/>
              </w:rPr>
              <w:t xml:space="preserve"> (</w:t>
            </w:r>
            <w:r w:rsidRPr="000A59F1">
              <w:rPr>
                <w:sz w:val="20"/>
                <w:szCs w:val="20"/>
              </w:rPr>
              <w:t>Maintained schools should refer to Regulation 16 Schedule 1 of The School Governance (Roles, Procedures and Allowances) (England) Regulations 2013</w:t>
            </w:r>
            <w:r w:rsidR="009038BD">
              <w:rPr>
                <w:sz w:val="20"/>
                <w:szCs w:val="20"/>
              </w:rPr>
              <w:t xml:space="preserve"> for guidance on similar matters.</w:t>
            </w:r>
            <w:r w:rsidR="00D55B6F">
              <w:rPr>
                <w:sz w:val="20"/>
                <w:szCs w:val="20"/>
              </w:rPr>
              <w:t>)</w:t>
            </w:r>
          </w:p>
          <w:p w14:paraId="135C87D8" w14:textId="77777777" w:rsidR="00094C41" w:rsidRDefault="00094C41" w:rsidP="00E66231">
            <w:pPr>
              <w:rPr>
                <w:sz w:val="20"/>
                <w:szCs w:val="20"/>
              </w:rPr>
            </w:pPr>
          </w:p>
          <w:p w14:paraId="6719A513" w14:textId="2E37D090" w:rsidR="00094C41" w:rsidRPr="000A59F1" w:rsidRDefault="009038BD" w:rsidP="00E66231">
            <w:pPr>
              <w:rPr>
                <w:sz w:val="20"/>
                <w:szCs w:val="20"/>
              </w:rPr>
            </w:pPr>
            <w:r>
              <w:rPr>
                <w:sz w:val="20"/>
                <w:szCs w:val="20"/>
              </w:rPr>
              <w:t xml:space="preserve">Additionally, the </w:t>
            </w:r>
            <w:r w:rsidR="00094C41">
              <w:rPr>
                <w:sz w:val="20"/>
                <w:szCs w:val="20"/>
              </w:rPr>
              <w:t xml:space="preserve">Charity Commission guidance document </w:t>
            </w:r>
            <w:hyperlink r:id="rId9" w:history="1">
              <w:r w:rsidR="00094C41" w:rsidRPr="00094C41">
                <w:rPr>
                  <w:rStyle w:val="Hyperlink"/>
                  <w:sz w:val="20"/>
                  <w:szCs w:val="20"/>
                </w:rPr>
                <w:t>CC29</w:t>
              </w:r>
            </w:hyperlink>
            <w:r w:rsidR="00094C41">
              <w:rPr>
                <w:sz w:val="20"/>
                <w:szCs w:val="20"/>
              </w:rPr>
              <w:t xml:space="preserve"> </w:t>
            </w:r>
            <w:r>
              <w:rPr>
                <w:sz w:val="20"/>
                <w:szCs w:val="20"/>
              </w:rPr>
              <w:t>Conflicts of Interest: A Guide for Charity Trustees offers</w:t>
            </w:r>
            <w:r w:rsidR="00094C41">
              <w:rPr>
                <w:sz w:val="20"/>
                <w:szCs w:val="20"/>
              </w:rPr>
              <w:t xml:space="preserve"> excellent </w:t>
            </w:r>
            <w:r>
              <w:rPr>
                <w:sz w:val="20"/>
                <w:szCs w:val="20"/>
              </w:rPr>
              <w:t xml:space="preserve">advice on </w:t>
            </w:r>
            <w:r w:rsidR="00094C41">
              <w:rPr>
                <w:sz w:val="20"/>
                <w:szCs w:val="20"/>
              </w:rPr>
              <w:t xml:space="preserve">how conflict interest </w:t>
            </w:r>
            <w:r>
              <w:rPr>
                <w:sz w:val="20"/>
                <w:szCs w:val="20"/>
              </w:rPr>
              <w:t>may</w:t>
            </w:r>
            <w:r w:rsidR="00094C41">
              <w:rPr>
                <w:sz w:val="20"/>
                <w:szCs w:val="20"/>
              </w:rPr>
              <w:t xml:space="preserve"> affect governing board</w:t>
            </w:r>
            <w:r>
              <w:rPr>
                <w:sz w:val="20"/>
                <w:szCs w:val="20"/>
              </w:rPr>
              <w:t>s</w:t>
            </w:r>
            <w:r w:rsidR="00094C41">
              <w:rPr>
                <w:sz w:val="20"/>
                <w:szCs w:val="20"/>
              </w:rPr>
              <w:t xml:space="preserve"> and provides</w:t>
            </w:r>
            <w:r>
              <w:rPr>
                <w:sz w:val="20"/>
                <w:szCs w:val="20"/>
              </w:rPr>
              <w:t xml:space="preserve"> a robust</w:t>
            </w:r>
            <w:r w:rsidR="00094C41">
              <w:rPr>
                <w:sz w:val="20"/>
                <w:szCs w:val="20"/>
              </w:rPr>
              <w:t xml:space="preserve"> legal </w:t>
            </w:r>
            <w:r>
              <w:rPr>
                <w:sz w:val="20"/>
                <w:szCs w:val="20"/>
              </w:rPr>
              <w:t xml:space="preserve">framework to help trustee/governors manage </w:t>
            </w:r>
            <w:proofErr w:type="gramStart"/>
            <w:r>
              <w:rPr>
                <w:sz w:val="20"/>
                <w:szCs w:val="20"/>
              </w:rPr>
              <w:t>these situation</w:t>
            </w:r>
            <w:proofErr w:type="gramEnd"/>
            <w:r>
              <w:rPr>
                <w:sz w:val="20"/>
                <w:szCs w:val="20"/>
              </w:rPr>
              <w:t xml:space="preserve"> effectively. </w:t>
            </w:r>
          </w:p>
          <w:p w14:paraId="66C10E98" w14:textId="6F76DCC7" w:rsidR="00E66231" w:rsidRDefault="00E66231"/>
        </w:tc>
      </w:tr>
      <w:tr w:rsidR="00CF2676" w14:paraId="111670E1" w14:textId="77777777" w:rsidTr="00C024C0">
        <w:tc>
          <w:tcPr>
            <w:tcW w:w="567" w:type="dxa"/>
          </w:tcPr>
          <w:p w14:paraId="65700297" w14:textId="6CED9E73" w:rsidR="00CF2676" w:rsidRPr="00F725D0" w:rsidRDefault="00CF2676">
            <w:pPr>
              <w:rPr>
                <w:b/>
                <w:bCs/>
              </w:rPr>
            </w:pPr>
            <w:r w:rsidRPr="00F725D0">
              <w:rPr>
                <w:b/>
                <w:bCs/>
              </w:rPr>
              <w:t>4.</w:t>
            </w:r>
          </w:p>
        </w:tc>
        <w:tc>
          <w:tcPr>
            <w:tcW w:w="8612" w:type="dxa"/>
          </w:tcPr>
          <w:p w14:paraId="1913D015" w14:textId="77777777" w:rsidR="00CF2676" w:rsidRPr="00074919" w:rsidRDefault="00CF2676">
            <w:pPr>
              <w:rPr>
                <w:b/>
                <w:bCs/>
              </w:rPr>
            </w:pPr>
            <w:r w:rsidRPr="00074919">
              <w:rPr>
                <w:b/>
                <w:bCs/>
              </w:rPr>
              <w:t>MINUTES OF THE PREVIOUS MEETING</w:t>
            </w:r>
          </w:p>
          <w:p w14:paraId="155BC4B0" w14:textId="77777777" w:rsidR="00CF2676" w:rsidRDefault="00CF2676">
            <w:r>
              <w:t xml:space="preserve">To confirm the minutes of the meeting held on </w:t>
            </w:r>
            <w:r w:rsidRPr="00074919">
              <w:rPr>
                <w:i/>
                <w:iCs/>
                <w:sz w:val="20"/>
                <w:szCs w:val="20"/>
              </w:rPr>
              <w:t>(date).</w:t>
            </w:r>
          </w:p>
          <w:p w14:paraId="15203ED0" w14:textId="081C1A7B" w:rsidR="00E251E9" w:rsidRDefault="00E251E9"/>
        </w:tc>
      </w:tr>
      <w:tr w:rsidR="00CF2676" w14:paraId="1723043B" w14:textId="77777777" w:rsidTr="00C024C0">
        <w:tc>
          <w:tcPr>
            <w:tcW w:w="567" w:type="dxa"/>
          </w:tcPr>
          <w:p w14:paraId="2EF8B2DD" w14:textId="292411F3" w:rsidR="00CF2676" w:rsidRPr="00F725D0" w:rsidRDefault="00CF2676">
            <w:pPr>
              <w:rPr>
                <w:b/>
                <w:bCs/>
              </w:rPr>
            </w:pPr>
            <w:r w:rsidRPr="00F725D0">
              <w:rPr>
                <w:b/>
                <w:bCs/>
              </w:rPr>
              <w:t>5.</w:t>
            </w:r>
          </w:p>
        </w:tc>
        <w:tc>
          <w:tcPr>
            <w:tcW w:w="8612" w:type="dxa"/>
          </w:tcPr>
          <w:p w14:paraId="59441466" w14:textId="77777777" w:rsidR="00CF2676" w:rsidRPr="00074919" w:rsidRDefault="00CF2676">
            <w:pPr>
              <w:rPr>
                <w:b/>
                <w:bCs/>
              </w:rPr>
            </w:pPr>
            <w:r w:rsidRPr="00074919">
              <w:rPr>
                <w:b/>
                <w:bCs/>
              </w:rPr>
              <w:t>MATTERS ARISING</w:t>
            </w:r>
          </w:p>
          <w:p w14:paraId="09C41270" w14:textId="77777777" w:rsidR="00CF2676" w:rsidRDefault="00CF2676">
            <w:r>
              <w:t>To consider matters arising/action points from the minutes of the previous meeting.</w:t>
            </w:r>
          </w:p>
          <w:p w14:paraId="15F29AA2" w14:textId="627E8312" w:rsidR="00E251E9" w:rsidRDefault="00E251E9"/>
        </w:tc>
      </w:tr>
      <w:tr w:rsidR="00CF2676" w14:paraId="496CC175" w14:textId="77777777" w:rsidTr="00C024C0">
        <w:tc>
          <w:tcPr>
            <w:tcW w:w="567" w:type="dxa"/>
          </w:tcPr>
          <w:p w14:paraId="13EECD88" w14:textId="6978CEA7" w:rsidR="00CF2676" w:rsidRPr="00F725D0" w:rsidRDefault="00CF2676">
            <w:pPr>
              <w:rPr>
                <w:b/>
                <w:bCs/>
              </w:rPr>
            </w:pPr>
            <w:r w:rsidRPr="00F725D0">
              <w:rPr>
                <w:b/>
                <w:bCs/>
              </w:rPr>
              <w:t>6.</w:t>
            </w:r>
          </w:p>
        </w:tc>
        <w:tc>
          <w:tcPr>
            <w:tcW w:w="8612" w:type="dxa"/>
          </w:tcPr>
          <w:p w14:paraId="229E3324" w14:textId="77777777" w:rsidR="00CF2676" w:rsidRPr="00074919" w:rsidRDefault="00CF2676">
            <w:pPr>
              <w:rPr>
                <w:b/>
                <w:bCs/>
              </w:rPr>
            </w:pPr>
            <w:r w:rsidRPr="00074919">
              <w:rPr>
                <w:b/>
                <w:bCs/>
              </w:rPr>
              <w:t>CHAIR’S ACTION</w:t>
            </w:r>
          </w:p>
          <w:p w14:paraId="796404C2" w14:textId="1797FA23" w:rsidR="00CF2676" w:rsidRDefault="00CF2676" w:rsidP="00CF2676">
            <w:pPr>
              <w:rPr>
                <w:i/>
                <w:sz w:val="20"/>
                <w:szCs w:val="20"/>
              </w:rPr>
            </w:pPr>
            <w:r>
              <w:t>To report any urgent action taken by the Chair (</w:t>
            </w:r>
            <w:r w:rsidR="00565136">
              <w:t xml:space="preserve">or </w:t>
            </w:r>
            <w:r>
              <w:t>Vice Chair) in accordance with the agreed procedure</w:t>
            </w:r>
            <w:r w:rsidR="00565136">
              <w:t>.</w:t>
            </w:r>
            <w:r>
              <w:t xml:space="preserve"> </w:t>
            </w:r>
            <w:r w:rsidRPr="00A040FC">
              <w:rPr>
                <w:i/>
                <w:sz w:val="20"/>
                <w:szCs w:val="20"/>
              </w:rPr>
              <w:t xml:space="preserve">(only if that function has been formally delegated to the Chair </w:t>
            </w:r>
            <w:r>
              <w:rPr>
                <w:i/>
                <w:sz w:val="20"/>
                <w:szCs w:val="20"/>
              </w:rPr>
              <w:t xml:space="preserve">(Vice Chair) </w:t>
            </w:r>
            <w:r w:rsidRPr="00A040FC">
              <w:rPr>
                <w:i/>
                <w:sz w:val="20"/>
                <w:szCs w:val="20"/>
              </w:rPr>
              <w:t>– academies only)</w:t>
            </w:r>
          </w:p>
          <w:p w14:paraId="638BE8E4" w14:textId="77777777" w:rsidR="00CF2676" w:rsidRDefault="00CF2676"/>
          <w:p w14:paraId="09725B35" w14:textId="7408D933" w:rsidR="00CF2676" w:rsidRDefault="00CF2676" w:rsidP="00CF2676">
            <w:pPr>
              <w:rPr>
                <w:i/>
                <w:sz w:val="20"/>
                <w:szCs w:val="20"/>
              </w:rPr>
            </w:pPr>
            <w:r>
              <w:t>To report any urgent action taken by the Chair (</w:t>
            </w:r>
            <w:r w:rsidR="00565136">
              <w:t xml:space="preserve">or </w:t>
            </w:r>
            <w:r>
              <w:t xml:space="preserve">Vice Chair) in accordance with the provisions of Regulation 8 of the School Governance Regulations 2013. </w:t>
            </w:r>
            <w:r w:rsidRPr="00A040FC">
              <w:rPr>
                <w:i/>
                <w:sz w:val="20"/>
                <w:szCs w:val="20"/>
              </w:rPr>
              <w:t>(maintained schools only)</w:t>
            </w:r>
          </w:p>
          <w:p w14:paraId="4B4FA4A9" w14:textId="0D1771ED" w:rsidR="00CF2676" w:rsidRDefault="00CF2676"/>
        </w:tc>
      </w:tr>
      <w:tr w:rsidR="00CF2676" w14:paraId="5103D5AA" w14:textId="77777777" w:rsidTr="00C024C0">
        <w:tc>
          <w:tcPr>
            <w:tcW w:w="567" w:type="dxa"/>
          </w:tcPr>
          <w:p w14:paraId="784D08FC" w14:textId="07179B8E" w:rsidR="00CF2676" w:rsidRPr="00F725D0" w:rsidRDefault="00CF2676">
            <w:pPr>
              <w:rPr>
                <w:b/>
                <w:bCs/>
              </w:rPr>
            </w:pPr>
            <w:r w:rsidRPr="00F725D0">
              <w:rPr>
                <w:b/>
                <w:bCs/>
              </w:rPr>
              <w:t>7.</w:t>
            </w:r>
          </w:p>
        </w:tc>
        <w:tc>
          <w:tcPr>
            <w:tcW w:w="8612" w:type="dxa"/>
          </w:tcPr>
          <w:p w14:paraId="26F4786B" w14:textId="77777777" w:rsidR="00CF2676" w:rsidRPr="00074919" w:rsidRDefault="004D629D">
            <w:pPr>
              <w:rPr>
                <w:b/>
                <w:bCs/>
              </w:rPr>
            </w:pPr>
            <w:r w:rsidRPr="00074919">
              <w:rPr>
                <w:b/>
                <w:bCs/>
              </w:rPr>
              <w:t>MEMBERSHIP MATTERS</w:t>
            </w:r>
          </w:p>
          <w:p w14:paraId="2E64D6D4" w14:textId="77777777" w:rsidR="004D629D" w:rsidRDefault="004D629D">
            <w:r>
              <w:t xml:space="preserve">To note any resignations/new appointments and re-appointments </w:t>
            </w:r>
            <w:proofErr w:type="gramStart"/>
            <w:r>
              <w:t>that have</w:t>
            </w:r>
            <w:proofErr w:type="gramEnd"/>
            <w:r>
              <w:t xml:space="preserve"> arisen since the last meeting. To discuss arising vacancies where relevant and actions to address these.</w:t>
            </w:r>
          </w:p>
          <w:p w14:paraId="1F639C71" w14:textId="77777777" w:rsidR="007D533F" w:rsidRDefault="007D533F"/>
          <w:p w14:paraId="70F8C431" w14:textId="7D070C56" w:rsidR="007D533F" w:rsidRPr="007D533F" w:rsidRDefault="007D533F">
            <w:pPr>
              <w:rPr>
                <w:sz w:val="20"/>
                <w:szCs w:val="20"/>
              </w:rPr>
            </w:pPr>
            <w:r w:rsidRPr="007D533F">
              <w:rPr>
                <w:sz w:val="20"/>
                <w:szCs w:val="20"/>
                <w:u w:val="single"/>
              </w:rPr>
              <w:t>Note:</w:t>
            </w:r>
            <w:r w:rsidRPr="007D533F">
              <w:rPr>
                <w:sz w:val="20"/>
                <w:szCs w:val="20"/>
              </w:rPr>
              <w:t xml:space="preserve"> Check if any governor/trustee terms are nearing completion and if replacements or reappointments are needed. </w:t>
            </w:r>
          </w:p>
          <w:p w14:paraId="1C42D9AF" w14:textId="1D530E16" w:rsidR="007D533F" w:rsidRPr="007D533F" w:rsidRDefault="007D533F">
            <w:pPr>
              <w:rPr>
                <w:sz w:val="20"/>
                <w:szCs w:val="20"/>
              </w:rPr>
            </w:pPr>
            <w:r w:rsidRPr="007D533F">
              <w:rPr>
                <w:sz w:val="20"/>
                <w:szCs w:val="20"/>
              </w:rPr>
              <w:t>Review the skills audit to ensure there is a broad range of expertise on the governing board. Identify any gaps and consider recruiting members with the necessary skills.</w:t>
            </w:r>
          </w:p>
          <w:p w14:paraId="1CA4681E" w14:textId="77777777" w:rsidR="007D533F" w:rsidRPr="007D533F" w:rsidRDefault="007D533F">
            <w:pPr>
              <w:rPr>
                <w:sz w:val="20"/>
                <w:szCs w:val="20"/>
              </w:rPr>
            </w:pPr>
          </w:p>
          <w:p w14:paraId="755BD2C2" w14:textId="00237A7C" w:rsidR="007D533F" w:rsidRPr="007D533F" w:rsidRDefault="007D533F">
            <w:pPr>
              <w:rPr>
                <w:sz w:val="20"/>
                <w:szCs w:val="20"/>
              </w:rPr>
            </w:pPr>
            <w:r w:rsidRPr="007D533F">
              <w:rPr>
                <w:sz w:val="20"/>
                <w:szCs w:val="20"/>
              </w:rPr>
              <w:t>Ensure that new governors/trustees have completed necessary inductions</w:t>
            </w:r>
            <w:r w:rsidR="00634335">
              <w:rPr>
                <w:sz w:val="20"/>
                <w:szCs w:val="20"/>
              </w:rPr>
              <w:t xml:space="preserve"> (including safeguarding training suitable for governors)</w:t>
            </w:r>
            <w:r w:rsidRPr="007D533F">
              <w:rPr>
                <w:sz w:val="20"/>
                <w:szCs w:val="20"/>
              </w:rPr>
              <w:t xml:space="preserve"> and that all governing board members have access to relevant training. </w:t>
            </w:r>
          </w:p>
          <w:p w14:paraId="3E5EAC46" w14:textId="54BD17D4" w:rsidR="00E251E9" w:rsidRDefault="00E251E9"/>
        </w:tc>
      </w:tr>
      <w:tr w:rsidR="004D629D" w14:paraId="4206AD63" w14:textId="77777777" w:rsidTr="00C024C0">
        <w:tc>
          <w:tcPr>
            <w:tcW w:w="567" w:type="dxa"/>
          </w:tcPr>
          <w:p w14:paraId="08149B4D" w14:textId="6650CDD8" w:rsidR="004D629D" w:rsidRPr="00F725D0" w:rsidRDefault="004D629D">
            <w:pPr>
              <w:rPr>
                <w:b/>
                <w:bCs/>
              </w:rPr>
            </w:pPr>
            <w:r w:rsidRPr="00F725D0">
              <w:rPr>
                <w:b/>
                <w:bCs/>
              </w:rPr>
              <w:t>8.</w:t>
            </w:r>
          </w:p>
        </w:tc>
        <w:tc>
          <w:tcPr>
            <w:tcW w:w="8612" w:type="dxa"/>
          </w:tcPr>
          <w:p w14:paraId="4D4A1DD4" w14:textId="77777777" w:rsidR="004D629D" w:rsidRPr="00074919" w:rsidRDefault="004D629D">
            <w:pPr>
              <w:rPr>
                <w:b/>
                <w:bCs/>
              </w:rPr>
            </w:pPr>
            <w:r w:rsidRPr="00074919">
              <w:rPr>
                <w:b/>
                <w:bCs/>
              </w:rPr>
              <w:t>REPORTS FROM COMMITTEES</w:t>
            </w:r>
          </w:p>
          <w:p w14:paraId="6B0029CD" w14:textId="6A159B24" w:rsidR="004D629D" w:rsidRDefault="004D629D">
            <w:r>
              <w:lastRenderedPageBreak/>
              <w:t xml:space="preserve">To consider minutes and actions put forward to the governing board from the following Committee meetings held during the </w:t>
            </w:r>
            <w:r w:rsidR="00565136">
              <w:t>S</w:t>
            </w:r>
            <w:r w:rsidR="0030016F">
              <w:t>ummer</w:t>
            </w:r>
            <w:r>
              <w:t xml:space="preserve"> term 202</w:t>
            </w:r>
            <w:r w:rsidR="00634335">
              <w:t>6</w:t>
            </w:r>
            <w:r>
              <w:t>:</w:t>
            </w:r>
          </w:p>
          <w:p w14:paraId="224357C5" w14:textId="77777777" w:rsidR="004D629D" w:rsidRDefault="002A3214">
            <w:pPr>
              <w:rPr>
                <w:i/>
                <w:iCs/>
                <w:sz w:val="20"/>
                <w:szCs w:val="20"/>
              </w:rPr>
            </w:pPr>
            <w:r w:rsidRPr="002A3214">
              <w:rPr>
                <w:i/>
                <w:iCs/>
                <w:sz w:val="20"/>
                <w:szCs w:val="20"/>
              </w:rPr>
              <w:t>(list your Committees)</w:t>
            </w:r>
          </w:p>
          <w:p w14:paraId="19969CB6" w14:textId="228FA656" w:rsidR="00E251E9" w:rsidRPr="002A3214" w:rsidRDefault="00E251E9">
            <w:pPr>
              <w:rPr>
                <w:i/>
                <w:iCs/>
                <w:sz w:val="20"/>
                <w:szCs w:val="20"/>
              </w:rPr>
            </w:pPr>
          </w:p>
        </w:tc>
      </w:tr>
      <w:tr w:rsidR="00B8678F" w14:paraId="22A13F2C" w14:textId="77777777" w:rsidTr="00C024C0">
        <w:tc>
          <w:tcPr>
            <w:tcW w:w="567" w:type="dxa"/>
          </w:tcPr>
          <w:p w14:paraId="28C8D8D8" w14:textId="0C9C6851" w:rsidR="00B8678F" w:rsidRPr="00F725D0" w:rsidRDefault="00B8678F">
            <w:pPr>
              <w:rPr>
                <w:b/>
                <w:bCs/>
              </w:rPr>
            </w:pPr>
            <w:r>
              <w:rPr>
                <w:b/>
                <w:bCs/>
              </w:rPr>
              <w:lastRenderedPageBreak/>
              <w:t>9.</w:t>
            </w:r>
          </w:p>
        </w:tc>
        <w:tc>
          <w:tcPr>
            <w:tcW w:w="8612" w:type="dxa"/>
          </w:tcPr>
          <w:p w14:paraId="631455C7" w14:textId="550853A4" w:rsidR="00B8678F" w:rsidRDefault="00B8678F">
            <w:pPr>
              <w:rPr>
                <w:i/>
                <w:iCs/>
                <w:sz w:val="20"/>
                <w:szCs w:val="20"/>
              </w:rPr>
            </w:pPr>
            <w:r>
              <w:rPr>
                <w:b/>
                <w:bCs/>
              </w:rPr>
              <w:t xml:space="preserve">BUDGET APPROVAL </w:t>
            </w:r>
            <w:r>
              <w:rPr>
                <w:i/>
                <w:iCs/>
                <w:sz w:val="20"/>
                <w:szCs w:val="20"/>
              </w:rPr>
              <w:t>(</w:t>
            </w:r>
            <w:r w:rsidR="0030016F">
              <w:rPr>
                <w:i/>
                <w:iCs/>
                <w:sz w:val="20"/>
                <w:szCs w:val="20"/>
              </w:rPr>
              <w:t>academies</w:t>
            </w:r>
            <w:r>
              <w:rPr>
                <w:i/>
                <w:iCs/>
                <w:sz w:val="20"/>
                <w:szCs w:val="20"/>
              </w:rPr>
              <w:t xml:space="preserve"> only)</w:t>
            </w:r>
          </w:p>
          <w:p w14:paraId="27786DBF" w14:textId="18C1F107" w:rsidR="00B8678F" w:rsidRDefault="00B8678F">
            <w:r>
              <w:t xml:space="preserve">To approve </w:t>
            </w:r>
            <w:r w:rsidR="007915AB">
              <w:t xml:space="preserve">a balanced </w:t>
            </w:r>
            <w:r>
              <w:t>budget for 202</w:t>
            </w:r>
            <w:r w:rsidR="00634335">
              <w:t>6</w:t>
            </w:r>
            <w:r>
              <w:t>/2</w:t>
            </w:r>
            <w:r w:rsidR="00634335">
              <w:t>7</w:t>
            </w:r>
            <w:r>
              <w:t xml:space="preserve"> </w:t>
            </w:r>
            <w:r w:rsidR="007915AB">
              <w:t>and</w:t>
            </w:r>
            <w:r w:rsidR="00DA7032">
              <w:t xml:space="preserve"> review</w:t>
            </w:r>
            <w:r w:rsidR="007915AB">
              <w:t xml:space="preserve"> the </w:t>
            </w:r>
            <w:r w:rsidR="00DA7032">
              <w:t xml:space="preserve">three-year </w:t>
            </w:r>
            <w:r w:rsidR="007915AB">
              <w:t>Budget Forecast Return (BFR).</w:t>
            </w:r>
          </w:p>
          <w:p w14:paraId="54CACA4D" w14:textId="77777777" w:rsidR="00B8678F" w:rsidRDefault="00B8678F"/>
          <w:p w14:paraId="16DA9D5C" w14:textId="3A38AFB2" w:rsidR="00B8678F" w:rsidRDefault="00B8678F" w:rsidP="0030016F">
            <w:pPr>
              <w:rPr>
                <w:sz w:val="20"/>
                <w:szCs w:val="20"/>
              </w:rPr>
            </w:pPr>
            <w:r w:rsidRPr="00B8678F">
              <w:rPr>
                <w:sz w:val="20"/>
                <w:szCs w:val="20"/>
                <w:u w:val="single"/>
              </w:rPr>
              <w:t>Note:</w:t>
            </w:r>
            <w:r>
              <w:rPr>
                <w:sz w:val="20"/>
                <w:szCs w:val="20"/>
              </w:rPr>
              <w:t xml:space="preserve"> </w:t>
            </w:r>
            <w:r w:rsidR="00107BB8">
              <w:rPr>
                <w:sz w:val="20"/>
                <w:szCs w:val="20"/>
              </w:rPr>
              <w:t>The board must approve and minute their approval of a balanced budget, and any significant changes to it, for the financial year to 31 August (ATH 2.9). The academy trust must submit Budget Forecast Return (BFR) by the end of August. This must be approved by the trustees before submission (ATH 2.16).</w:t>
            </w:r>
          </w:p>
          <w:p w14:paraId="3C3399D4" w14:textId="117054F4" w:rsidR="0030016F" w:rsidRPr="00B8678F" w:rsidRDefault="0030016F" w:rsidP="0030016F"/>
        </w:tc>
      </w:tr>
      <w:tr w:rsidR="002A3214" w14:paraId="1C2D87F0" w14:textId="77777777" w:rsidTr="00C024C0">
        <w:tc>
          <w:tcPr>
            <w:tcW w:w="567" w:type="dxa"/>
          </w:tcPr>
          <w:p w14:paraId="6FA20D7B" w14:textId="5A04B3FD" w:rsidR="002A3214" w:rsidRPr="00F725D0" w:rsidRDefault="00AF60D0">
            <w:pPr>
              <w:rPr>
                <w:b/>
                <w:bCs/>
              </w:rPr>
            </w:pPr>
            <w:r>
              <w:rPr>
                <w:b/>
                <w:bCs/>
              </w:rPr>
              <w:t>1</w:t>
            </w:r>
            <w:r w:rsidR="0030016F">
              <w:rPr>
                <w:b/>
                <w:bCs/>
              </w:rPr>
              <w:t>0</w:t>
            </w:r>
            <w:r w:rsidR="002A3214" w:rsidRPr="00F725D0">
              <w:rPr>
                <w:b/>
                <w:bCs/>
              </w:rPr>
              <w:t>.</w:t>
            </w:r>
          </w:p>
        </w:tc>
        <w:tc>
          <w:tcPr>
            <w:tcW w:w="8612" w:type="dxa"/>
          </w:tcPr>
          <w:p w14:paraId="015EB79D" w14:textId="77777777" w:rsidR="002A3214" w:rsidRPr="00074919" w:rsidRDefault="002A3214">
            <w:pPr>
              <w:rPr>
                <w:b/>
                <w:bCs/>
              </w:rPr>
            </w:pPr>
            <w:r w:rsidRPr="00074919">
              <w:rPr>
                <w:b/>
                <w:bCs/>
              </w:rPr>
              <w:t>HEADTEACHER’S REPORT</w:t>
            </w:r>
          </w:p>
          <w:p w14:paraId="26687404" w14:textId="77777777" w:rsidR="002A3214" w:rsidRDefault="002A3214">
            <w:r>
              <w:t xml:space="preserve">To receive the Headteacher’s report. </w:t>
            </w:r>
          </w:p>
          <w:p w14:paraId="3D5B24F3" w14:textId="77777777" w:rsidR="002A3214" w:rsidRDefault="002A3214"/>
          <w:p w14:paraId="4A649507" w14:textId="70EE8F68" w:rsidR="00565136" w:rsidRDefault="002A3214">
            <w:pPr>
              <w:rPr>
                <w:sz w:val="20"/>
                <w:szCs w:val="20"/>
              </w:rPr>
            </w:pPr>
            <w:r w:rsidRPr="008A07F1">
              <w:rPr>
                <w:sz w:val="20"/>
                <w:szCs w:val="20"/>
                <w:u w:val="single"/>
              </w:rPr>
              <w:t>Note:</w:t>
            </w:r>
            <w:r w:rsidRPr="008A07F1">
              <w:rPr>
                <w:sz w:val="20"/>
                <w:szCs w:val="20"/>
              </w:rPr>
              <w:t xml:space="preserve"> The Headteacher/Executive </w:t>
            </w:r>
            <w:r w:rsidR="00565136">
              <w:rPr>
                <w:sz w:val="20"/>
                <w:szCs w:val="20"/>
              </w:rPr>
              <w:t>must</w:t>
            </w:r>
            <w:r w:rsidRPr="008A07F1">
              <w:rPr>
                <w:sz w:val="20"/>
                <w:szCs w:val="20"/>
              </w:rPr>
              <w:t xml:space="preserve"> provide the governing board with the information it needs to </w:t>
            </w:r>
            <w:r w:rsidR="00565136">
              <w:rPr>
                <w:sz w:val="20"/>
                <w:szCs w:val="20"/>
              </w:rPr>
              <w:t>perform its role effectively.</w:t>
            </w:r>
            <w:r w:rsidRPr="008A07F1">
              <w:rPr>
                <w:sz w:val="20"/>
                <w:szCs w:val="20"/>
              </w:rPr>
              <w:t xml:space="preserve"> Th</w:t>
            </w:r>
            <w:r w:rsidR="00565136">
              <w:rPr>
                <w:sz w:val="20"/>
                <w:szCs w:val="20"/>
              </w:rPr>
              <w:t>is</w:t>
            </w:r>
            <w:r w:rsidRPr="008A07F1">
              <w:rPr>
                <w:sz w:val="20"/>
                <w:szCs w:val="20"/>
              </w:rPr>
              <w:t xml:space="preserve"> information should </w:t>
            </w:r>
            <w:r w:rsidR="00565136">
              <w:rPr>
                <w:sz w:val="20"/>
                <w:szCs w:val="20"/>
              </w:rPr>
              <w:t>offer a high-level</w:t>
            </w:r>
            <w:r w:rsidRPr="008A07F1">
              <w:rPr>
                <w:sz w:val="20"/>
                <w:szCs w:val="20"/>
              </w:rPr>
              <w:t xml:space="preserve"> overview </w:t>
            </w:r>
            <w:r w:rsidR="00565136">
              <w:rPr>
                <w:sz w:val="20"/>
                <w:szCs w:val="20"/>
              </w:rPr>
              <w:t xml:space="preserve">of key areas, enabling trustees/governors to make informed strategic decisions and </w:t>
            </w:r>
            <w:r w:rsidRPr="008A07F1">
              <w:rPr>
                <w:sz w:val="20"/>
                <w:szCs w:val="20"/>
              </w:rPr>
              <w:t xml:space="preserve">generate </w:t>
            </w:r>
            <w:r w:rsidR="00565136">
              <w:rPr>
                <w:sz w:val="20"/>
                <w:szCs w:val="20"/>
              </w:rPr>
              <w:t xml:space="preserve">meaningful </w:t>
            </w:r>
            <w:r w:rsidRPr="008A07F1">
              <w:rPr>
                <w:sz w:val="20"/>
                <w:szCs w:val="20"/>
              </w:rPr>
              <w:t xml:space="preserve">discussion. </w:t>
            </w:r>
          </w:p>
          <w:p w14:paraId="53D33CF5" w14:textId="77777777" w:rsidR="00565136" w:rsidRDefault="00565136">
            <w:pPr>
              <w:rPr>
                <w:sz w:val="20"/>
                <w:szCs w:val="20"/>
              </w:rPr>
            </w:pPr>
          </w:p>
          <w:p w14:paraId="38114644" w14:textId="57FFE562" w:rsidR="00565136" w:rsidRDefault="00565136">
            <w:pPr>
              <w:rPr>
                <w:sz w:val="20"/>
                <w:szCs w:val="20"/>
              </w:rPr>
            </w:pPr>
            <w:r>
              <w:rPr>
                <w:sz w:val="20"/>
                <w:szCs w:val="20"/>
              </w:rPr>
              <w:t xml:space="preserve">For maintained schools, this requirement aligns with </w:t>
            </w:r>
            <w:r w:rsidR="008A07F1" w:rsidRPr="008A07F1">
              <w:rPr>
                <w:sz w:val="20"/>
                <w:szCs w:val="20"/>
              </w:rPr>
              <w:t>Regulation 15 of the School Governance (Roles, Procedures and Allowances) (England) Regulations 2013</w:t>
            </w:r>
            <w:r>
              <w:rPr>
                <w:sz w:val="20"/>
                <w:szCs w:val="20"/>
              </w:rPr>
              <w:t>, which states that such reports must be made available to anyone who requests them.</w:t>
            </w:r>
          </w:p>
          <w:p w14:paraId="5C8551D3" w14:textId="77777777" w:rsidR="00565136" w:rsidRDefault="00565136">
            <w:pPr>
              <w:rPr>
                <w:sz w:val="20"/>
                <w:szCs w:val="20"/>
              </w:rPr>
            </w:pPr>
          </w:p>
          <w:p w14:paraId="4568767F" w14:textId="2EA4FF2D" w:rsidR="002A3214" w:rsidRPr="00565136" w:rsidRDefault="00565136" w:rsidP="00565136">
            <w:pPr>
              <w:pStyle w:val="p1"/>
              <w:rPr>
                <w:rFonts w:asciiTheme="minorHAnsi" w:hAnsiTheme="minorHAnsi"/>
                <w:sz w:val="20"/>
                <w:szCs w:val="20"/>
              </w:rPr>
            </w:pPr>
            <w:r w:rsidRPr="00565136">
              <w:rPr>
                <w:rFonts w:asciiTheme="minorHAnsi" w:hAnsiTheme="minorHAnsi"/>
                <w:sz w:val="20"/>
                <w:szCs w:val="20"/>
              </w:rPr>
              <w:t>For academies, Article</w:t>
            </w:r>
            <w:r w:rsidR="008A07F1" w:rsidRPr="00565136">
              <w:rPr>
                <w:rFonts w:asciiTheme="minorHAnsi" w:hAnsiTheme="minorHAnsi"/>
                <w:sz w:val="20"/>
                <w:szCs w:val="20"/>
              </w:rPr>
              <w:t xml:space="preserve"> 124 of the Model Articles of Association</w:t>
            </w:r>
            <w:r w:rsidRPr="00565136">
              <w:rPr>
                <w:rFonts w:asciiTheme="minorHAnsi" w:hAnsiTheme="minorHAnsi"/>
                <w:sz w:val="20"/>
                <w:szCs w:val="20"/>
              </w:rPr>
              <w:t xml:space="preserve"> requires the Executive Leader to supply information that enables the trustees to fulfil their oversight responsibilities. The governing board’s role is to scrutini</w:t>
            </w:r>
            <w:r>
              <w:rPr>
                <w:rFonts w:asciiTheme="minorHAnsi" w:hAnsiTheme="minorHAnsi"/>
                <w:sz w:val="20"/>
                <w:szCs w:val="20"/>
              </w:rPr>
              <w:t>s</w:t>
            </w:r>
            <w:r w:rsidRPr="00565136">
              <w:rPr>
                <w:rFonts w:asciiTheme="minorHAnsi" w:hAnsiTheme="minorHAnsi"/>
                <w:sz w:val="20"/>
                <w:szCs w:val="20"/>
              </w:rPr>
              <w:t>e and challenge the information to ensure effective decision-making and uphold the trust’s accountability. Academ</w:t>
            </w:r>
            <w:r>
              <w:rPr>
                <w:rFonts w:asciiTheme="minorHAnsi" w:hAnsiTheme="minorHAnsi"/>
                <w:sz w:val="20"/>
                <w:szCs w:val="20"/>
              </w:rPr>
              <w:t>ies</w:t>
            </w:r>
            <w:r w:rsidRPr="00565136">
              <w:rPr>
                <w:rFonts w:asciiTheme="minorHAnsi" w:hAnsiTheme="minorHAnsi"/>
                <w:sz w:val="20"/>
                <w:szCs w:val="20"/>
              </w:rPr>
              <w:t xml:space="preserve"> must also consider confidentiality and data protection when responding to external requests for these reports, ensuring compliance with GDPR and their own policies on data sharing.</w:t>
            </w:r>
          </w:p>
          <w:p w14:paraId="36EC23FE" w14:textId="5D7654B3" w:rsidR="00E251E9" w:rsidRPr="008A07F1" w:rsidRDefault="00E251E9">
            <w:pPr>
              <w:rPr>
                <w:sz w:val="20"/>
                <w:szCs w:val="20"/>
              </w:rPr>
            </w:pPr>
          </w:p>
        </w:tc>
      </w:tr>
      <w:tr w:rsidR="007915AB" w14:paraId="30B23470" w14:textId="77777777" w:rsidTr="00C024C0">
        <w:tc>
          <w:tcPr>
            <w:tcW w:w="567" w:type="dxa"/>
          </w:tcPr>
          <w:p w14:paraId="5072CC0A" w14:textId="509901EC" w:rsidR="007915AB" w:rsidRPr="00F725D0" w:rsidRDefault="007915AB">
            <w:pPr>
              <w:rPr>
                <w:b/>
                <w:bCs/>
              </w:rPr>
            </w:pPr>
            <w:r>
              <w:rPr>
                <w:b/>
                <w:bCs/>
              </w:rPr>
              <w:t>11.</w:t>
            </w:r>
          </w:p>
        </w:tc>
        <w:tc>
          <w:tcPr>
            <w:tcW w:w="8612" w:type="dxa"/>
          </w:tcPr>
          <w:p w14:paraId="1C7FA306" w14:textId="77777777" w:rsidR="007915AB" w:rsidRDefault="007915AB">
            <w:pPr>
              <w:rPr>
                <w:b/>
                <w:bCs/>
              </w:rPr>
            </w:pPr>
            <w:r>
              <w:rPr>
                <w:b/>
                <w:bCs/>
              </w:rPr>
              <w:t>SAFEGUARDING REPORT</w:t>
            </w:r>
          </w:p>
          <w:p w14:paraId="7CC6C36A" w14:textId="77777777" w:rsidR="007915AB" w:rsidRDefault="007915AB">
            <w:r>
              <w:t>To receive an annual Safeguarding Report.</w:t>
            </w:r>
          </w:p>
          <w:p w14:paraId="6F471A17" w14:textId="77777777" w:rsidR="007915AB" w:rsidRDefault="007915AB"/>
          <w:p w14:paraId="3402DCB5" w14:textId="07248ABE" w:rsidR="00EA7B31" w:rsidRDefault="007915AB" w:rsidP="00EA7B31">
            <w:pPr>
              <w:rPr>
                <w:sz w:val="20"/>
                <w:szCs w:val="20"/>
              </w:rPr>
            </w:pPr>
            <w:r w:rsidRPr="007915AB">
              <w:rPr>
                <w:sz w:val="20"/>
                <w:szCs w:val="20"/>
                <w:u w:val="single"/>
              </w:rPr>
              <w:t>Note:</w:t>
            </w:r>
            <w:r w:rsidRPr="007915AB">
              <w:rPr>
                <w:sz w:val="20"/>
                <w:szCs w:val="20"/>
              </w:rPr>
              <w:t xml:space="preserve"> </w:t>
            </w:r>
            <w:r w:rsidR="00EA7B31">
              <w:rPr>
                <w:sz w:val="20"/>
                <w:szCs w:val="20"/>
              </w:rPr>
              <w:t xml:space="preserve">The Headteacher or designated safeguarding lead (DSL) is usually responsible for creating the report. Regular reports allow the governing board to carry out up-to-date oversight of the safeguarding within the school. Even though there is no </w:t>
            </w:r>
            <w:r w:rsidR="00634335">
              <w:rPr>
                <w:sz w:val="20"/>
                <w:szCs w:val="20"/>
              </w:rPr>
              <w:t xml:space="preserve">statutory </w:t>
            </w:r>
            <w:r w:rsidR="00EA7B31">
              <w:rPr>
                <w:sz w:val="20"/>
                <w:szCs w:val="20"/>
              </w:rPr>
              <w:t xml:space="preserve">requirement, it is best practice for governing board to receive an annual safeguarding report and for relevant committees and Safeguarding LINK to receive termly reports to scrutinise the school’s procedure in more detail and report back to the governing board.  </w:t>
            </w:r>
            <w:r w:rsidR="00EA7B31" w:rsidRPr="0043643B">
              <w:rPr>
                <w:sz w:val="20"/>
                <w:szCs w:val="20"/>
              </w:rPr>
              <w:t>You could add the Safeguarding LINK report here.</w:t>
            </w:r>
          </w:p>
          <w:p w14:paraId="6CD9D362" w14:textId="77777777" w:rsidR="00EA7B31" w:rsidRDefault="00EA7B31" w:rsidP="00EA7B31">
            <w:pPr>
              <w:rPr>
                <w:sz w:val="20"/>
                <w:szCs w:val="20"/>
              </w:rPr>
            </w:pPr>
          </w:p>
          <w:p w14:paraId="76BB1F8B" w14:textId="6ECBE628" w:rsidR="00107BB8" w:rsidRPr="007915AB" w:rsidRDefault="00EA7B31" w:rsidP="00EA7B31">
            <w:pPr>
              <w:rPr>
                <w:sz w:val="20"/>
                <w:szCs w:val="20"/>
              </w:rPr>
            </w:pPr>
            <w:r>
              <w:rPr>
                <w:sz w:val="20"/>
                <w:szCs w:val="20"/>
              </w:rPr>
              <w:t>Under local safeguarding arrangements, education settings are required to submit an audit to the Essex Safeguarding Children Board (ESCB) every 2 years.</w:t>
            </w:r>
            <w:r w:rsidR="00634335">
              <w:rPr>
                <w:sz w:val="20"/>
                <w:szCs w:val="20"/>
              </w:rPr>
              <w:t xml:space="preserve"> (Next submission due May 2027)</w:t>
            </w:r>
          </w:p>
          <w:p w14:paraId="5F0A7EE0" w14:textId="004716A4" w:rsidR="007915AB" w:rsidRPr="007915AB" w:rsidRDefault="007915AB"/>
        </w:tc>
      </w:tr>
      <w:tr w:rsidR="00EA7B31" w14:paraId="01DD472B" w14:textId="77777777" w:rsidTr="00C024C0">
        <w:tc>
          <w:tcPr>
            <w:tcW w:w="567" w:type="dxa"/>
          </w:tcPr>
          <w:p w14:paraId="2B5F4E9F" w14:textId="229FB751" w:rsidR="00EA7B31" w:rsidRPr="00F725D0" w:rsidRDefault="00EA7B31">
            <w:pPr>
              <w:rPr>
                <w:b/>
                <w:bCs/>
              </w:rPr>
            </w:pPr>
            <w:r>
              <w:rPr>
                <w:b/>
                <w:bCs/>
              </w:rPr>
              <w:t>12.</w:t>
            </w:r>
          </w:p>
        </w:tc>
        <w:tc>
          <w:tcPr>
            <w:tcW w:w="8612" w:type="dxa"/>
          </w:tcPr>
          <w:p w14:paraId="0F62324B" w14:textId="77777777" w:rsidR="00EA7B31" w:rsidRDefault="00EA7B31">
            <w:pPr>
              <w:rPr>
                <w:b/>
                <w:bCs/>
              </w:rPr>
            </w:pPr>
            <w:r>
              <w:rPr>
                <w:b/>
                <w:bCs/>
              </w:rPr>
              <w:t>SEND REPORT</w:t>
            </w:r>
          </w:p>
          <w:p w14:paraId="457F2427" w14:textId="77777777" w:rsidR="00EA7B31" w:rsidRDefault="00EA7B31" w:rsidP="00EA7B31">
            <w:r>
              <w:t xml:space="preserve">To receive the annual SEND Report and approve the SEN Information report. </w:t>
            </w:r>
          </w:p>
          <w:p w14:paraId="0F31C84C" w14:textId="77777777" w:rsidR="00EA7B31" w:rsidRDefault="00EA7B31"/>
          <w:p w14:paraId="3D94AB8F" w14:textId="77777777" w:rsidR="00EA7B31" w:rsidRPr="000821E8" w:rsidRDefault="00EA7B31" w:rsidP="00EA7B31">
            <w:pPr>
              <w:pStyle w:val="NoSpacing"/>
              <w:rPr>
                <w:rFonts w:asciiTheme="minorHAnsi" w:hAnsiTheme="minorHAnsi"/>
                <w:sz w:val="20"/>
                <w:szCs w:val="20"/>
              </w:rPr>
            </w:pPr>
            <w:r w:rsidRPr="000821E8">
              <w:rPr>
                <w:rFonts w:asciiTheme="minorHAnsi" w:hAnsiTheme="minorHAnsi"/>
                <w:sz w:val="20"/>
                <w:szCs w:val="20"/>
                <w:u w:val="single"/>
              </w:rPr>
              <w:t>Note:</w:t>
            </w:r>
            <w:r w:rsidRPr="000821E8">
              <w:rPr>
                <w:rFonts w:asciiTheme="minorHAnsi" w:hAnsiTheme="minorHAnsi"/>
                <w:sz w:val="20"/>
                <w:szCs w:val="20"/>
              </w:rPr>
              <w:t xml:space="preserve"> Section 69 of the Children and Families Act 2014 placed a statutory duty on the governing boards of maintained schools and maintained nursery schools in England, and the proprietors of academy schools, to prepare a report containing SEN information.</w:t>
            </w:r>
          </w:p>
          <w:p w14:paraId="0B865C9A" w14:textId="72EDC298" w:rsidR="00EA7B31" w:rsidRPr="000821E8" w:rsidRDefault="00EA7B31" w:rsidP="00EA7B31">
            <w:pPr>
              <w:pStyle w:val="NoSpacing"/>
              <w:rPr>
                <w:rFonts w:asciiTheme="minorHAnsi" w:hAnsiTheme="minorHAnsi"/>
                <w:sz w:val="20"/>
                <w:szCs w:val="20"/>
              </w:rPr>
            </w:pPr>
            <w:r w:rsidRPr="000821E8">
              <w:rPr>
                <w:rFonts w:asciiTheme="minorHAnsi" w:hAnsiTheme="minorHAnsi"/>
                <w:sz w:val="20"/>
                <w:szCs w:val="20"/>
              </w:rPr>
              <w:t xml:space="preserve">The legal obligation to publish the SEN Information Report (the Report) on the </w:t>
            </w:r>
            <w:proofErr w:type="gramStart"/>
            <w:r w:rsidRPr="000821E8">
              <w:rPr>
                <w:rFonts w:asciiTheme="minorHAnsi" w:hAnsiTheme="minorHAnsi"/>
                <w:sz w:val="20"/>
                <w:szCs w:val="20"/>
              </w:rPr>
              <w:t>website,</w:t>
            </w:r>
            <w:proofErr w:type="gramEnd"/>
            <w:r w:rsidRPr="000821E8">
              <w:rPr>
                <w:rFonts w:asciiTheme="minorHAnsi" w:hAnsiTheme="minorHAnsi"/>
                <w:sz w:val="20"/>
                <w:szCs w:val="20"/>
              </w:rPr>
              <w:t xml:space="preserve"> can be found in the SEN Code of Practice. This provides that the governing boards of maintained schools and maintained nursery schools, and the proprietors of academy schools, must publish information on their websites about the implementation of the governing boards or the proprietor’s policy for pupils with SEN. You could add the SEND LINK report here. </w:t>
            </w:r>
          </w:p>
          <w:p w14:paraId="0257EAF4" w14:textId="2BD16754" w:rsidR="00EA7B31" w:rsidRPr="00EA7B31" w:rsidRDefault="00EA7B31"/>
        </w:tc>
      </w:tr>
      <w:tr w:rsidR="00EA7B31" w14:paraId="09F38999" w14:textId="77777777" w:rsidTr="00C024C0">
        <w:tc>
          <w:tcPr>
            <w:tcW w:w="567" w:type="dxa"/>
          </w:tcPr>
          <w:p w14:paraId="355D5D59" w14:textId="1ABB211E" w:rsidR="00EA7B31" w:rsidRPr="00F725D0" w:rsidRDefault="00EA7B31">
            <w:pPr>
              <w:rPr>
                <w:b/>
                <w:bCs/>
              </w:rPr>
            </w:pPr>
            <w:r>
              <w:rPr>
                <w:b/>
                <w:bCs/>
              </w:rPr>
              <w:lastRenderedPageBreak/>
              <w:t>13.</w:t>
            </w:r>
          </w:p>
        </w:tc>
        <w:tc>
          <w:tcPr>
            <w:tcW w:w="8612" w:type="dxa"/>
          </w:tcPr>
          <w:p w14:paraId="0111EAC5" w14:textId="77777777" w:rsidR="00EA7B31" w:rsidRDefault="00EA7B31">
            <w:pPr>
              <w:rPr>
                <w:b/>
                <w:bCs/>
              </w:rPr>
            </w:pPr>
            <w:r>
              <w:rPr>
                <w:b/>
                <w:bCs/>
              </w:rPr>
              <w:t>DATA PROTECTION</w:t>
            </w:r>
          </w:p>
          <w:p w14:paraId="62580191" w14:textId="77777777" w:rsidR="00EA7B31" w:rsidRDefault="00EA7B31" w:rsidP="00EA7B31">
            <w:r w:rsidRPr="00C666A9">
              <w:t>To</w:t>
            </w:r>
            <w:r>
              <w:t xml:space="preserve"> receive Data Protection Report and (re-)appoint Data Protection Officer.</w:t>
            </w:r>
          </w:p>
          <w:p w14:paraId="2DBE66E0" w14:textId="77777777" w:rsidR="00EA7B31" w:rsidRDefault="00EA7B31"/>
          <w:p w14:paraId="719AC770" w14:textId="77777777" w:rsidR="00EA7B31" w:rsidRPr="000821E8" w:rsidRDefault="00EA7B31" w:rsidP="00EA7B31">
            <w:pPr>
              <w:rPr>
                <w:sz w:val="20"/>
                <w:szCs w:val="20"/>
              </w:rPr>
            </w:pPr>
            <w:r w:rsidRPr="000821E8">
              <w:rPr>
                <w:sz w:val="20"/>
                <w:szCs w:val="20"/>
                <w:u w:val="single"/>
              </w:rPr>
              <w:t>Note:</w:t>
            </w:r>
            <w:r w:rsidRPr="000821E8">
              <w:rPr>
                <w:sz w:val="20"/>
                <w:szCs w:val="20"/>
              </w:rPr>
              <w:t xml:space="preserve"> GDPR doesn’t say how often governing boards should receive reports on school’s compliance with the UK GDPR. Best practice suggests annually, and any additional updates being provided whenever there is a data breach or other important development(s). </w:t>
            </w:r>
          </w:p>
          <w:p w14:paraId="59D2E04B" w14:textId="7F8DC8E3" w:rsidR="00EA7B31" w:rsidRPr="00EA7B31" w:rsidRDefault="00EA7B31"/>
        </w:tc>
      </w:tr>
      <w:tr w:rsidR="008A07F1" w14:paraId="09AFC343" w14:textId="77777777" w:rsidTr="00C024C0">
        <w:tc>
          <w:tcPr>
            <w:tcW w:w="567" w:type="dxa"/>
          </w:tcPr>
          <w:p w14:paraId="52C14902" w14:textId="242FB658" w:rsidR="008A07F1" w:rsidRPr="00F725D0" w:rsidRDefault="008A07F1">
            <w:pPr>
              <w:rPr>
                <w:b/>
                <w:bCs/>
              </w:rPr>
            </w:pPr>
            <w:r w:rsidRPr="00F725D0">
              <w:rPr>
                <w:b/>
                <w:bCs/>
              </w:rPr>
              <w:t>1</w:t>
            </w:r>
            <w:r w:rsidR="00EA7B31">
              <w:rPr>
                <w:b/>
                <w:bCs/>
              </w:rPr>
              <w:t>4</w:t>
            </w:r>
            <w:r w:rsidRPr="00F725D0">
              <w:rPr>
                <w:b/>
                <w:bCs/>
              </w:rPr>
              <w:t>.</w:t>
            </w:r>
          </w:p>
        </w:tc>
        <w:tc>
          <w:tcPr>
            <w:tcW w:w="8612" w:type="dxa"/>
          </w:tcPr>
          <w:p w14:paraId="35D516BA" w14:textId="6FC23F30" w:rsidR="008A07F1" w:rsidRPr="00BC7471" w:rsidRDefault="00BC7471">
            <w:pPr>
              <w:rPr>
                <w:b/>
                <w:bCs/>
              </w:rPr>
            </w:pPr>
            <w:r>
              <w:rPr>
                <w:b/>
                <w:bCs/>
              </w:rPr>
              <w:t>SCHOOL DEVELOPMENT PLAN (SDP)</w:t>
            </w:r>
          </w:p>
          <w:p w14:paraId="16D1C8EE" w14:textId="4AE9F802" w:rsidR="008A07F1" w:rsidRDefault="008A07F1">
            <w:r>
              <w:t xml:space="preserve">To </w:t>
            </w:r>
            <w:r w:rsidR="0030016F">
              <w:t>evaluate</w:t>
            </w:r>
            <w:r w:rsidR="00BC7471">
              <w:t xml:space="preserve"> progress o</w:t>
            </w:r>
            <w:r w:rsidR="0030016F">
              <w:t>f</w:t>
            </w:r>
            <w:r w:rsidR="00BC7471">
              <w:t xml:space="preserve"> the SDP 202</w:t>
            </w:r>
            <w:r w:rsidR="00634335">
              <w:t>5</w:t>
            </w:r>
            <w:r w:rsidR="00BC7471">
              <w:t>-2</w:t>
            </w:r>
            <w:r w:rsidR="00634335">
              <w:t>6</w:t>
            </w:r>
            <w:r w:rsidR="00BC7471">
              <w:t>.</w:t>
            </w:r>
            <w:r>
              <w:t xml:space="preserve"> </w:t>
            </w:r>
          </w:p>
          <w:p w14:paraId="30EDEBD2" w14:textId="77777777" w:rsidR="008A07F1" w:rsidRDefault="008A07F1"/>
          <w:p w14:paraId="5F16787D" w14:textId="73CE06C2" w:rsidR="00146706" w:rsidRPr="00146706" w:rsidRDefault="008A07F1" w:rsidP="00146706">
            <w:pPr>
              <w:pStyle w:val="p1"/>
              <w:rPr>
                <w:rFonts w:asciiTheme="minorHAnsi" w:hAnsiTheme="minorHAnsi"/>
                <w:sz w:val="20"/>
                <w:szCs w:val="20"/>
              </w:rPr>
            </w:pPr>
            <w:r w:rsidRPr="00146706">
              <w:rPr>
                <w:rFonts w:asciiTheme="minorHAnsi" w:hAnsiTheme="minorHAnsi"/>
                <w:sz w:val="20"/>
                <w:szCs w:val="20"/>
                <w:u w:val="single"/>
              </w:rPr>
              <w:t>Note:</w:t>
            </w:r>
            <w:r w:rsidRPr="00146706">
              <w:rPr>
                <w:rFonts w:asciiTheme="minorHAnsi" w:hAnsiTheme="minorHAnsi"/>
                <w:sz w:val="20"/>
                <w:szCs w:val="20"/>
              </w:rPr>
              <w:t xml:space="preserve"> </w:t>
            </w:r>
            <w:r w:rsidR="00146706" w:rsidRPr="00146706">
              <w:rPr>
                <w:rFonts w:asciiTheme="minorHAnsi" w:hAnsiTheme="minorHAnsi"/>
                <w:sz w:val="20"/>
                <w:szCs w:val="20"/>
              </w:rPr>
              <w:t>The monitoring of the School Development Plan (SDP) can vary between governing boards, reflecting their unique structures and practices. In some cases, the SDP may be monitored at the committee level throughout the academic year, with progress summari</w:t>
            </w:r>
            <w:r w:rsidR="00146706">
              <w:rPr>
                <w:rFonts w:asciiTheme="minorHAnsi" w:hAnsiTheme="minorHAnsi"/>
                <w:sz w:val="20"/>
                <w:szCs w:val="20"/>
              </w:rPr>
              <w:t>s</w:t>
            </w:r>
            <w:r w:rsidR="00146706" w:rsidRPr="00146706">
              <w:rPr>
                <w:rFonts w:asciiTheme="minorHAnsi" w:hAnsiTheme="minorHAnsi"/>
                <w:sz w:val="20"/>
                <w:szCs w:val="20"/>
              </w:rPr>
              <w:t>ed in the Headteacher’s regular reports. Alternatively, it might be discussed as a separate agenda item during full governing board meetings.</w:t>
            </w:r>
          </w:p>
          <w:p w14:paraId="7C19411A" w14:textId="77777777" w:rsidR="00146706" w:rsidRPr="00146706" w:rsidRDefault="00146706" w:rsidP="00146706">
            <w:pPr>
              <w:pStyle w:val="p2"/>
              <w:rPr>
                <w:rFonts w:asciiTheme="minorHAnsi" w:hAnsiTheme="minorHAnsi"/>
                <w:sz w:val="20"/>
                <w:szCs w:val="20"/>
              </w:rPr>
            </w:pPr>
          </w:p>
          <w:p w14:paraId="18637CCB" w14:textId="0B4CC9D5" w:rsidR="007A28AF" w:rsidRPr="00146706" w:rsidRDefault="00146706" w:rsidP="00146706">
            <w:pPr>
              <w:pStyle w:val="p1"/>
              <w:rPr>
                <w:rFonts w:asciiTheme="minorHAnsi" w:hAnsiTheme="minorHAnsi"/>
                <w:sz w:val="20"/>
                <w:szCs w:val="20"/>
              </w:rPr>
            </w:pPr>
            <w:r w:rsidRPr="00146706">
              <w:rPr>
                <w:rFonts w:asciiTheme="minorHAnsi" w:hAnsiTheme="minorHAnsi"/>
                <w:sz w:val="20"/>
                <w:szCs w:val="20"/>
              </w:rPr>
              <w:t xml:space="preserve">There are no strict rules dictating how monitoring should be carried out. However, it is essential that the approach chosen ensures </w:t>
            </w:r>
            <w:r>
              <w:rPr>
                <w:rFonts w:asciiTheme="minorHAnsi" w:hAnsiTheme="minorHAnsi"/>
                <w:sz w:val="20"/>
                <w:szCs w:val="20"/>
              </w:rPr>
              <w:t>t</w:t>
            </w:r>
            <w:r w:rsidRPr="00146706">
              <w:rPr>
                <w:rFonts w:asciiTheme="minorHAnsi" w:hAnsiTheme="minorHAnsi"/>
                <w:sz w:val="20"/>
                <w:szCs w:val="20"/>
              </w:rPr>
              <w:t>rustees</w:t>
            </w:r>
            <w:r>
              <w:rPr>
                <w:rFonts w:asciiTheme="minorHAnsi" w:hAnsiTheme="minorHAnsi"/>
                <w:sz w:val="20"/>
                <w:szCs w:val="20"/>
              </w:rPr>
              <w:t>/</w:t>
            </w:r>
            <w:r w:rsidRPr="00146706">
              <w:rPr>
                <w:rFonts w:asciiTheme="minorHAnsi" w:hAnsiTheme="minorHAnsi"/>
                <w:sz w:val="20"/>
                <w:szCs w:val="20"/>
              </w:rPr>
              <w:t>governors have a clear understanding of progress against the plan’s objectives, enabling them to provide effective oversight and support for the school’s priorities. Regular and structured updates help the governing board fulfil its strategic responsibilities effectively.</w:t>
            </w:r>
          </w:p>
          <w:p w14:paraId="5C1AC2CB" w14:textId="15801CA5" w:rsidR="009607EC" w:rsidRPr="00794324" w:rsidRDefault="009607EC">
            <w:pPr>
              <w:rPr>
                <w:sz w:val="20"/>
                <w:szCs w:val="20"/>
              </w:rPr>
            </w:pPr>
          </w:p>
        </w:tc>
      </w:tr>
      <w:tr w:rsidR="0014160A" w14:paraId="3786E0D8" w14:textId="77777777" w:rsidTr="00C024C0">
        <w:tc>
          <w:tcPr>
            <w:tcW w:w="567" w:type="dxa"/>
          </w:tcPr>
          <w:p w14:paraId="6AC7536D" w14:textId="77CCCCD5" w:rsidR="0014160A" w:rsidRPr="00F725D0" w:rsidRDefault="0014160A">
            <w:pPr>
              <w:rPr>
                <w:b/>
                <w:bCs/>
              </w:rPr>
            </w:pPr>
            <w:r w:rsidRPr="00F725D0">
              <w:rPr>
                <w:b/>
                <w:bCs/>
              </w:rPr>
              <w:t>1</w:t>
            </w:r>
            <w:r w:rsidR="00107BB8">
              <w:rPr>
                <w:b/>
                <w:bCs/>
              </w:rPr>
              <w:t>5</w:t>
            </w:r>
            <w:r w:rsidR="0043643B" w:rsidRPr="00F725D0">
              <w:rPr>
                <w:b/>
                <w:bCs/>
              </w:rPr>
              <w:t>.</w:t>
            </w:r>
          </w:p>
        </w:tc>
        <w:tc>
          <w:tcPr>
            <w:tcW w:w="8612" w:type="dxa"/>
          </w:tcPr>
          <w:p w14:paraId="0FE06368" w14:textId="77777777" w:rsidR="0043643B" w:rsidRPr="00074919" w:rsidRDefault="0043643B" w:rsidP="0043643B">
            <w:pPr>
              <w:rPr>
                <w:b/>
                <w:bCs/>
              </w:rPr>
            </w:pPr>
            <w:r w:rsidRPr="00074919">
              <w:rPr>
                <w:b/>
                <w:bCs/>
              </w:rPr>
              <w:t>POLICY REVIEW</w:t>
            </w:r>
          </w:p>
          <w:p w14:paraId="289955DA" w14:textId="4D1F8C5E" w:rsidR="0043643B" w:rsidRDefault="0043643B" w:rsidP="0043643B">
            <w:r>
              <w:t xml:space="preserve">To review and adopt the following policies for use in the School. </w:t>
            </w:r>
          </w:p>
          <w:p w14:paraId="1D7F431F" w14:textId="77777777" w:rsidR="0043643B" w:rsidRDefault="0043643B" w:rsidP="0043643B"/>
          <w:p w14:paraId="363EB535" w14:textId="288DB5ED" w:rsidR="0043643B" w:rsidRDefault="0043643B" w:rsidP="0043643B">
            <w:pPr>
              <w:rPr>
                <w:bCs/>
                <w:sz w:val="20"/>
                <w:szCs w:val="20"/>
              </w:rPr>
            </w:pPr>
            <w:r w:rsidRPr="00074919">
              <w:rPr>
                <w:bCs/>
                <w:sz w:val="20"/>
                <w:szCs w:val="20"/>
                <w:u w:val="single"/>
              </w:rPr>
              <w:t>Note:</w:t>
            </w:r>
            <w:r w:rsidRPr="00074919">
              <w:rPr>
                <w:bCs/>
                <w:sz w:val="20"/>
                <w:szCs w:val="20"/>
              </w:rPr>
              <w:t xml:space="preserve"> The drafting of school policies can be delegated to any member of staff</w:t>
            </w:r>
            <w:r w:rsidR="00E01E97">
              <w:rPr>
                <w:bCs/>
                <w:sz w:val="20"/>
                <w:szCs w:val="20"/>
              </w:rPr>
              <w:t>, depending on their expertise and the nature of the policy. T</w:t>
            </w:r>
            <w:r w:rsidRPr="00074919">
              <w:rPr>
                <w:bCs/>
                <w:sz w:val="20"/>
                <w:szCs w:val="20"/>
              </w:rPr>
              <w:t xml:space="preserve">here is no </w:t>
            </w:r>
            <w:r w:rsidR="00E01E97" w:rsidRPr="00074919">
              <w:rPr>
                <w:bCs/>
                <w:sz w:val="20"/>
                <w:szCs w:val="20"/>
              </w:rPr>
              <w:t>s</w:t>
            </w:r>
            <w:r w:rsidR="00E01E97">
              <w:rPr>
                <w:bCs/>
                <w:sz w:val="20"/>
                <w:szCs w:val="20"/>
              </w:rPr>
              <w:t>tatutory r</w:t>
            </w:r>
            <w:r w:rsidRPr="00074919">
              <w:rPr>
                <w:bCs/>
                <w:sz w:val="20"/>
                <w:szCs w:val="20"/>
              </w:rPr>
              <w:t xml:space="preserve">equirement for all policies to be reviewed annually </w:t>
            </w:r>
            <w:r w:rsidR="00E01E97">
              <w:rPr>
                <w:bCs/>
                <w:sz w:val="20"/>
                <w:szCs w:val="20"/>
              </w:rPr>
              <w:t xml:space="preserve">nor must </w:t>
            </w:r>
            <w:r w:rsidRPr="00074919">
              <w:rPr>
                <w:bCs/>
                <w:sz w:val="20"/>
                <w:szCs w:val="20"/>
              </w:rPr>
              <w:t xml:space="preserve">all policies </w:t>
            </w:r>
            <w:r w:rsidR="00E01E97">
              <w:rPr>
                <w:bCs/>
                <w:sz w:val="20"/>
                <w:szCs w:val="20"/>
              </w:rPr>
              <w:t>be formally approved</w:t>
            </w:r>
            <w:r w:rsidRPr="00074919">
              <w:rPr>
                <w:bCs/>
                <w:sz w:val="20"/>
                <w:szCs w:val="20"/>
              </w:rPr>
              <w:t xml:space="preserve"> by the governing board. </w:t>
            </w:r>
            <w:r w:rsidR="00E01E97">
              <w:rPr>
                <w:bCs/>
                <w:sz w:val="20"/>
                <w:szCs w:val="20"/>
              </w:rPr>
              <w:t xml:space="preserve">For </w:t>
            </w:r>
            <w:r w:rsidRPr="00074919">
              <w:rPr>
                <w:bCs/>
                <w:sz w:val="20"/>
                <w:szCs w:val="20"/>
              </w:rPr>
              <w:t xml:space="preserve">LGBs </w:t>
            </w:r>
            <w:r w:rsidR="00E01E97">
              <w:rPr>
                <w:bCs/>
                <w:sz w:val="20"/>
                <w:szCs w:val="20"/>
              </w:rPr>
              <w:t xml:space="preserve">in a multi-academy trust, their role will typically involve </w:t>
            </w:r>
            <w:r w:rsidRPr="00074919">
              <w:rPr>
                <w:bCs/>
                <w:sz w:val="20"/>
                <w:szCs w:val="20"/>
              </w:rPr>
              <w:t>adopting or monitoring policies</w:t>
            </w:r>
            <w:r w:rsidR="00E01E97">
              <w:rPr>
                <w:bCs/>
                <w:sz w:val="20"/>
                <w:szCs w:val="20"/>
              </w:rPr>
              <w:t xml:space="preserve"> that have been</w:t>
            </w:r>
            <w:r w:rsidRPr="00074919">
              <w:rPr>
                <w:bCs/>
                <w:sz w:val="20"/>
                <w:szCs w:val="20"/>
              </w:rPr>
              <w:t xml:space="preserve"> agreed </w:t>
            </w:r>
            <w:r w:rsidR="00E01E97">
              <w:rPr>
                <w:bCs/>
                <w:sz w:val="20"/>
                <w:szCs w:val="20"/>
              </w:rPr>
              <w:t>upon by</w:t>
            </w:r>
            <w:r w:rsidRPr="00074919">
              <w:rPr>
                <w:bCs/>
                <w:sz w:val="20"/>
                <w:szCs w:val="20"/>
              </w:rPr>
              <w:t xml:space="preserve"> the board of trustees</w:t>
            </w:r>
            <w:r w:rsidR="00E01E97">
              <w:rPr>
                <w:bCs/>
                <w:sz w:val="20"/>
                <w:szCs w:val="20"/>
              </w:rPr>
              <w:t>.</w:t>
            </w:r>
            <w:r w:rsidRPr="00074919">
              <w:rPr>
                <w:bCs/>
                <w:sz w:val="20"/>
                <w:szCs w:val="20"/>
              </w:rPr>
              <w:t xml:space="preserve"> </w:t>
            </w:r>
            <w:r w:rsidR="00E01E97">
              <w:rPr>
                <w:bCs/>
                <w:sz w:val="20"/>
                <w:szCs w:val="20"/>
              </w:rPr>
              <w:t>H</w:t>
            </w:r>
            <w:r w:rsidRPr="00074919">
              <w:rPr>
                <w:bCs/>
                <w:sz w:val="20"/>
                <w:szCs w:val="20"/>
              </w:rPr>
              <w:t>owever</w:t>
            </w:r>
            <w:r w:rsidR="00E01E97">
              <w:rPr>
                <w:bCs/>
                <w:sz w:val="20"/>
                <w:szCs w:val="20"/>
              </w:rPr>
              <w:t xml:space="preserve">, the specific responsibilities for policy approval and review should be verified against your </w:t>
            </w:r>
            <w:r w:rsidR="00E01E97" w:rsidRPr="00074919">
              <w:rPr>
                <w:bCs/>
                <w:sz w:val="20"/>
                <w:szCs w:val="20"/>
              </w:rPr>
              <w:t>Scheme</w:t>
            </w:r>
            <w:r w:rsidRPr="00074919">
              <w:rPr>
                <w:bCs/>
                <w:sz w:val="20"/>
                <w:szCs w:val="20"/>
              </w:rPr>
              <w:t xml:space="preserve"> of Delegation.</w:t>
            </w:r>
          </w:p>
          <w:p w14:paraId="2771B334" w14:textId="77777777" w:rsidR="007650FE" w:rsidRDefault="007650FE" w:rsidP="0043643B">
            <w:pPr>
              <w:rPr>
                <w:bCs/>
                <w:sz w:val="20"/>
                <w:szCs w:val="20"/>
              </w:rPr>
            </w:pPr>
          </w:p>
          <w:p w14:paraId="379C64C8" w14:textId="77777777" w:rsidR="00634335" w:rsidRDefault="00E01E97" w:rsidP="0043643B">
            <w:pPr>
              <w:rPr>
                <w:sz w:val="20"/>
                <w:szCs w:val="20"/>
              </w:rPr>
            </w:pPr>
            <w:r>
              <w:rPr>
                <w:bCs/>
                <w:sz w:val="20"/>
                <w:szCs w:val="20"/>
              </w:rPr>
              <w:t>Back in</w:t>
            </w:r>
            <w:r w:rsidR="007650FE">
              <w:rPr>
                <w:bCs/>
                <w:sz w:val="20"/>
                <w:szCs w:val="20"/>
              </w:rPr>
              <w:t xml:space="preserve"> March 2024, the DfE published separate governance guides for </w:t>
            </w:r>
            <w:hyperlink r:id="rId10" w:history="1">
              <w:r w:rsidR="007650FE" w:rsidRPr="007650FE">
                <w:rPr>
                  <w:rStyle w:val="Hyperlink"/>
                  <w:bCs/>
                  <w:sz w:val="20"/>
                  <w:szCs w:val="20"/>
                </w:rPr>
                <w:t>maintained schools</w:t>
              </w:r>
            </w:hyperlink>
            <w:r w:rsidR="007650FE">
              <w:rPr>
                <w:bCs/>
                <w:sz w:val="20"/>
                <w:szCs w:val="20"/>
              </w:rPr>
              <w:t xml:space="preserve"> and </w:t>
            </w:r>
            <w:hyperlink r:id="rId11" w:history="1">
              <w:r w:rsidR="007650FE" w:rsidRPr="007650FE">
                <w:rPr>
                  <w:rStyle w:val="Hyperlink"/>
                  <w:bCs/>
                  <w:sz w:val="20"/>
                  <w:szCs w:val="20"/>
                </w:rPr>
                <w:t>academy trusts</w:t>
              </w:r>
            </w:hyperlink>
            <w:r>
              <w:t xml:space="preserve">, </w:t>
            </w:r>
            <w:r>
              <w:rPr>
                <w:sz w:val="20"/>
                <w:szCs w:val="20"/>
              </w:rPr>
              <w:t xml:space="preserve">which include revised statutory policy lists. These new lists replace the CFE’s previous guidance on statutory policies and are less exhaustive, with some policies removed or consolidated into others. You should refer to the latest guidance to ensure compliance with statutory requirements. </w:t>
            </w:r>
            <w:r w:rsidR="00634335">
              <w:rPr>
                <w:sz w:val="20"/>
                <w:szCs w:val="20"/>
              </w:rPr>
              <w:t xml:space="preserve">However, the DfE lists do not include every required policy (such as the Child Protection Policy) so refer to a checklist e.g. from The Key or EPHA (Essex Primary Headteachers’ Association  </w:t>
            </w:r>
          </w:p>
          <w:p w14:paraId="3C9DDF6D" w14:textId="18D08C5A" w:rsidR="00107BB8" w:rsidRDefault="00723235" w:rsidP="00634335">
            <w:pPr>
              <w:rPr>
                <w:sz w:val="20"/>
                <w:szCs w:val="20"/>
              </w:rPr>
            </w:pPr>
            <w:hyperlink r:id="rId12" w:history="1">
              <w:r w:rsidR="00634335" w:rsidRPr="0091520B">
                <w:rPr>
                  <w:rStyle w:val="Hyperlink"/>
                  <w:sz w:val="20"/>
                  <w:szCs w:val="20"/>
                </w:rPr>
                <w:t>https://essexprimaryheads.co.uk/info-and-documents/model-policies/</w:t>
              </w:r>
            </w:hyperlink>
          </w:p>
          <w:p w14:paraId="7BD86425" w14:textId="63E868BE" w:rsidR="00634335" w:rsidRDefault="00634335" w:rsidP="00634335"/>
        </w:tc>
      </w:tr>
      <w:tr w:rsidR="0043643B" w14:paraId="2349C01F" w14:textId="77777777" w:rsidTr="00C024C0">
        <w:tc>
          <w:tcPr>
            <w:tcW w:w="567" w:type="dxa"/>
          </w:tcPr>
          <w:p w14:paraId="42B3FC01" w14:textId="18BF3355" w:rsidR="0043643B" w:rsidRPr="00F725D0" w:rsidRDefault="0043643B">
            <w:pPr>
              <w:rPr>
                <w:b/>
                <w:bCs/>
              </w:rPr>
            </w:pPr>
            <w:r w:rsidRPr="00F725D0">
              <w:rPr>
                <w:b/>
                <w:bCs/>
              </w:rPr>
              <w:t>1</w:t>
            </w:r>
            <w:r w:rsidR="00107BB8">
              <w:rPr>
                <w:b/>
                <w:bCs/>
              </w:rPr>
              <w:t>6</w:t>
            </w:r>
            <w:r w:rsidRPr="00F725D0">
              <w:rPr>
                <w:b/>
                <w:bCs/>
              </w:rPr>
              <w:t>.</w:t>
            </w:r>
          </w:p>
        </w:tc>
        <w:tc>
          <w:tcPr>
            <w:tcW w:w="8612" w:type="dxa"/>
          </w:tcPr>
          <w:p w14:paraId="75C6BCB7" w14:textId="77777777" w:rsidR="0043643B" w:rsidRDefault="0043643B" w:rsidP="0043643B">
            <w:pPr>
              <w:rPr>
                <w:b/>
                <w:bCs/>
              </w:rPr>
            </w:pPr>
            <w:r w:rsidRPr="00074919">
              <w:rPr>
                <w:b/>
                <w:bCs/>
              </w:rPr>
              <w:t>GOVERNOR/TRUSTEE MONITORING, DEVELOPMENT AND TRAINING</w:t>
            </w:r>
          </w:p>
          <w:p w14:paraId="31315061" w14:textId="77777777" w:rsidR="00074919" w:rsidRPr="00074919" w:rsidRDefault="00074919" w:rsidP="0043643B">
            <w:pPr>
              <w:rPr>
                <w:b/>
                <w:bCs/>
              </w:rPr>
            </w:pPr>
          </w:p>
          <w:p w14:paraId="48C36DF8" w14:textId="6021BBD7" w:rsidR="0043643B" w:rsidRPr="00BB690C" w:rsidRDefault="0043643B" w:rsidP="0043643B">
            <w:pPr>
              <w:pStyle w:val="ListParagraph"/>
              <w:numPr>
                <w:ilvl w:val="0"/>
                <w:numId w:val="3"/>
              </w:numPr>
            </w:pPr>
            <w:r>
              <w:t xml:space="preserve">To receive and evaluate reports from governors/trustees who have undertaken monitoring visits to school </w:t>
            </w:r>
            <w:r w:rsidRPr="00E01E97">
              <w:rPr>
                <w:i/>
                <w:iCs/>
                <w:sz w:val="20"/>
                <w:szCs w:val="20"/>
              </w:rPr>
              <w:t xml:space="preserve">(these </w:t>
            </w:r>
            <w:r w:rsidR="00E01E97" w:rsidRPr="00E01E97">
              <w:rPr>
                <w:i/>
                <w:iCs/>
                <w:sz w:val="20"/>
                <w:szCs w:val="20"/>
              </w:rPr>
              <w:t>reports should focus on key areas of the School Development plan (SDP) or other strategic priorities and may be discussed as part of specific agenda items (e.g. SEND review, Safeguarding review, Curriculum review))</w:t>
            </w:r>
          </w:p>
          <w:p w14:paraId="777A301E" w14:textId="77777777" w:rsidR="00BB690C" w:rsidRDefault="00BB690C" w:rsidP="00BB690C">
            <w:pPr>
              <w:pStyle w:val="ListParagraph"/>
            </w:pPr>
          </w:p>
          <w:p w14:paraId="0C5EA853" w14:textId="0BCD03A3" w:rsidR="0043643B" w:rsidRPr="00BB690C" w:rsidRDefault="0043643B" w:rsidP="0043643B">
            <w:pPr>
              <w:pStyle w:val="ListParagraph"/>
              <w:numPr>
                <w:ilvl w:val="0"/>
                <w:numId w:val="3"/>
              </w:numPr>
              <w:rPr>
                <w:sz w:val="20"/>
                <w:szCs w:val="20"/>
              </w:rPr>
            </w:pPr>
            <w:r>
              <w:t>To receive a report from the Training Link Governor/Trustee</w:t>
            </w:r>
            <w:r w:rsidR="00E01E97">
              <w:t xml:space="preserve"> summarising training completed by the governing board or individual members </w:t>
            </w:r>
            <w:r w:rsidR="00E01E97" w:rsidRPr="00E01E97">
              <w:rPr>
                <w:i/>
                <w:iCs/>
                <w:sz w:val="20"/>
                <w:szCs w:val="20"/>
              </w:rPr>
              <w:t>(the report should identify any gaps in knowledge or skills and recommend training to address these gaps</w:t>
            </w:r>
            <w:r w:rsidR="00E01E97">
              <w:rPr>
                <w:i/>
                <w:iCs/>
                <w:sz w:val="20"/>
                <w:szCs w:val="20"/>
              </w:rPr>
              <w:t>)</w:t>
            </w:r>
          </w:p>
          <w:p w14:paraId="5B21A729" w14:textId="77777777" w:rsidR="00BB690C" w:rsidRPr="00BB690C" w:rsidRDefault="00BB690C" w:rsidP="00BB690C">
            <w:pPr>
              <w:rPr>
                <w:sz w:val="20"/>
                <w:szCs w:val="20"/>
              </w:rPr>
            </w:pPr>
          </w:p>
          <w:p w14:paraId="2029C21D" w14:textId="6DBF127E" w:rsidR="00A8533C" w:rsidRPr="00E301CA" w:rsidRDefault="0043643B" w:rsidP="00E301CA">
            <w:pPr>
              <w:pStyle w:val="ListParagraph"/>
              <w:numPr>
                <w:ilvl w:val="0"/>
                <w:numId w:val="3"/>
              </w:numPr>
              <w:rPr>
                <w:sz w:val="20"/>
                <w:szCs w:val="20"/>
              </w:rPr>
            </w:pPr>
            <w:r w:rsidRPr="00C12969">
              <w:t xml:space="preserve">To </w:t>
            </w:r>
            <w:r>
              <w:t>discuss the</w:t>
            </w:r>
            <w:r w:rsidRPr="00C12969">
              <w:t xml:space="preserve"> impact of training undertaken</w:t>
            </w:r>
            <w:r>
              <w:t xml:space="preserve"> </w:t>
            </w:r>
            <w:r w:rsidR="00E01E97">
              <w:t xml:space="preserve">by governors/trustees on their effectiveness in fulfilling governance roles </w:t>
            </w:r>
            <w:r w:rsidR="00E01E97" w:rsidRPr="00E01E97">
              <w:rPr>
                <w:i/>
                <w:iCs/>
                <w:sz w:val="20"/>
                <w:szCs w:val="20"/>
              </w:rPr>
              <w:t>(consider whether training has improved strategic oversight, monitoring capabilities, or compliance with statutory responsibilities)</w:t>
            </w:r>
          </w:p>
          <w:p w14:paraId="0DD79A5E" w14:textId="03138BF3" w:rsidR="00094C41" w:rsidRDefault="00094C41" w:rsidP="00A8533C">
            <w:pPr>
              <w:pStyle w:val="ListParagraph"/>
            </w:pPr>
          </w:p>
        </w:tc>
      </w:tr>
      <w:tr w:rsidR="002625D9" w14:paraId="0BD3C441" w14:textId="77777777" w:rsidTr="00C024C0">
        <w:tc>
          <w:tcPr>
            <w:tcW w:w="567" w:type="dxa"/>
          </w:tcPr>
          <w:p w14:paraId="31ED536A" w14:textId="25E08067" w:rsidR="002625D9" w:rsidRPr="00F725D0" w:rsidRDefault="002625D9">
            <w:pPr>
              <w:rPr>
                <w:b/>
                <w:bCs/>
              </w:rPr>
            </w:pPr>
            <w:r w:rsidRPr="00F725D0">
              <w:rPr>
                <w:b/>
                <w:bCs/>
              </w:rPr>
              <w:lastRenderedPageBreak/>
              <w:t>1</w:t>
            </w:r>
            <w:r w:rsidR="00107BB8">
              <w:rPr>
                <w:b/>
                <w:bCs/>
              </w:rPr>
              <w:t>7</w:t>
            </w:r>
            <w:r w:rsidRPr="00F725D0">
              <w:rPr>
                <w:b/>
                <w:bCs/>
              </w:rPr>
              <w:t>.</w:t>
            </w:r>
          </w:p>
        </w:tc>
        <w:tc>
          <w:tcPr>
            <w:tcW w:w="8612" w:type="dxa"/>
          </w:tcPr>
          <w:p w14:paraId="5E3B4EFF" w14:textId="0B12C2C8" w:rsidR="002625D9" w:rsidRPr="00074919" w:rsidRDefault="002625D9" w:rsidP="0043643B">
            <w:pPr>
              <w:rPr>
                <w:b/>
                <w:bCs/>
              </w:rPr>
            </w:pPr>
            <w:r w:rsidRPr="00074919">
              <w:rPr>
                <w:b/>
                <w:bCs/>
              </w:rPr>
              <w:t xml:space="preserve">DATES/TIMES OF </w:t>
            </w:r>
            <w:r w:rsidR="00EA7B31">
              <w:rPr>
                <w:b/>
                <w:bCs/>
              </w:rPr>
              <w:t xml:space="preserve">FUTURE </w:t>
            </w:r>
            <w:r w:rsidRPr="00074919">
              <w:rPr>
                <w:b/>
                <w:bCs/>
              </w:rPr>
              <w:t>MEETINGS</w:t>
            </w:r>
          </w:p>
          <w:p w14:paraId="3A2C28B2" w14:textId="1A95EEE6" w:rsidR="00EA7B31" w:rsidRDefault="00EA7B31" w:rsidP="00EA7B31">
            <w:r>
              <w:t>To agree dates/times for meetings of Committees and Governing Board for the 202</w:t>
            </w:r>
            <w:r w:rsidR="00634335">
              <w:t>6</w:t>
            </w:r>
            <w:r>
              <w:t>/2</w:t>
            </w:r>
            <w:r w:rsidR="00634335">
              <w:t>7</w:t>
            </w:r>
            <w:r>
              <w:t xml:space="preserve"> academic year. As far as possible, meetings should be planned to fit with external deadlines and data drops so that meetings are as </w:t>
            </w:r>
            <w:r w:rsidR="00634335">
              <w:t>effective</w:t>
            </w:r>
            <w:r>
              <w:t xml:space="preserve"> as possible.</w:t>
            </w:r>
          </w:p>
          <w:p w14:paraId="3A5CF326" w14:textId="77777777" w:rsidR="00BB690C" w:rsidRPr="00C3382D" w:rsidRDefault="00BB690C" w:rsidP="0043643B">
            <w:pPr>
              <w:rPr>
                <w:i/>
                <w:iCs/>
                <w:sz w:val="20"/>
                <w:szCs w:val="20"/>
              </w:rPr>
            </w:pPr>
          </w:p>
          <w:p w14:paraId="78A5CDC4" w14:textId="45276795" w:rsidR="009607EC" w:rsidRDefault="009607EC" w:rsidP="0043643B"/>
        </w:tc>
      </w:tr>
      <w:tr w:rsidR="002625D9" w14:paraId="67A40614" w14:textId="77777777" w:rsidTr="00C024C0">
        <w:tc>
          <w:tcPr>
            <w:tcW w:w="567" w:type="dxa"/>
          </w:tcPr>
          <w:p w14:paraId="5FF70095" w14:textId="21CCC81A" w:rsidR="002625D9" w:rsidRPr="00F725D0" w:rsidRDefault="002625D9">
            <w:pPr>
              <w:rPr>
                <w:b/>
                <w:bCs/>
              </w:rPr>
            </w:pPr>
            <w:r w:rsidRPr="00F725D0">
              <w:rPr>
                <w:b/>
                <w:bCs/>
              </w:rPr>
              <w:t>1</w:t>
            </w:r>
            <w:r w:rsidR="00107BB8">
              <w:rPr>
                <w:b/>
                <w:bCs/>
              </w:rPr>
              <w:t>8</w:t>
            </w:r>
            <w:r w:rsidRPr="00F725D0">
              <w:rPr>
                <w:b/>
                <w:bCs/>
              </w:rPr>
              <w:t xml:space="preserve">. </w:t>
            </w:r>
          </w:p>
        </w:tc>
        <w:tc>
          <w:tcPr>
            <w:tcW w:w="8612" w:type="dxa"/>
          </w:tcPr>
          <w:p w14:paraId="7F8812C5" w14:textId="77777777" w:rsidR="002625D9" w:rsidRDefault="002625D9" w:rsidP="0043643B">
            <w:pPr>
              <w:rPr>
                <w:b/>
                <w:bCs/>
              </w:rPr>
            </w:pPr>
            <w:r w:rsidRPr="00074919">
              <w:rPr>
                <w:b/>
                <w:bCs/>
              </w:rPr>
              <w:t>ANY OTHER BUSINESS</w:t>
            </w:r>
          </w:p>
          <w:p w14:paraId="3397B0D6" w14:textId="77777777" w:rsidR="00074919" w:rsidRPr="00074919" w:rsidRDefault="00074919" w:rsidP="0043643B">
            <w:pPr>
              <w:rPr>
                <w:b/>
                <w:bCs/>
              </w:rPr>
            </w:pPr>
          </w:p>
          <w:p w14:paraId="0EBFD011" w14:textId="77777777" w:rsidR="002625D9" w:rsidRPr="00074919" w:rsidRDefault="002625D9" w:rsidP="0043643B">
            <w:pPr>
              <w:rPr>
                <w:i/>
                <w:iCs/>
                <w:sz w:val="22"/>
                <w:szCs w:val="22"/>
              </w:rPr>
            </w:pPr>
            <w:r w:rsidRPr="00074919">
              <w:rPr>
                <w:i/>
                <w:iCs/>
                <w:sz w:val="22"/>
                <w:szCs w:val="22"/>
              </w:rPr>
              <w:t>(Items to be raised under ‘Any Other Business’ must be notified to the Clerk/Governance Professional in advance of the meeting)</w:t>
            </w:r>
          </w:p>
          <w:p w14:paraId="1744C809" w14:textId="77777777" w:rsidR="002625D9" w:rsidRDefault="002625D9" w:rsidP="0043643B"/>
          <w:p w14:paraId="433A52C8" w14:textId="77777777" w:rsidR="00074919" w:rsidRDefault="00074919" w:rsidP="0043643B"/>
          <w:p w14:paraId="79DA118A" w14:textId="77777777" w:rsidR="009607EC" w:rsidRDefault="009607EC" w:rsidP="0043643B"/>
          <w:p w14:paraId="511656BE" w14:textId="77777777" w:rsidR="009607EC" w:rsidRDefault="009607EC" w:rsidP="0043643B"/>
          <w:p w14:paraId="24B7ABF7" w14:textId="77777777" w:rsidR="00A25E34" w:rsidRDefault="00A25E34" w:rsidP="0043643B"/>
          <w:p w14:paraId="6D98BBA2" w14:textId="77777777" w:rsidR="00BB690C" w:rsidRDefault="00BB690C" w:rsidP="0043643B"/>
          <w:p w14:paraId="51A52549" w14:textId="77777777" w:rsidR="00BB690C" w:rsidRDefault="00BB690C" w:rsidP="0043643B"/>
          <w:p w14:paraId="1B93B728" w14:textId="77777777" w:rsidR="00BB690C" w:rsidRDefault="00BB690C" w:rsidP="0043643B"/>
          <w:p w14:paraId="7A2A9FEA" w14:textId="77777777" w:rsidR="00BB690C" w:rsidRDefault="00BB690C" w:rsidP="0043643B"/>
          <w:p w14:paraId="215E13A1" w14:textId="77777777" w:rsidR="00BB690C" w:rsidRDefault="00BB690C" w:rsidP="0043643B"/>
          <w:p w14:paraId="125040A1" w14:textId="77777777" w:rsidR="00BB690C" w:rsidRDefault="00BB690C" w:rsidP="0043643B"/>
          <w:p w14:paraId="7D5B6DAE" w14:textId="77777777" w:rsidR="00EA7B31" w:rsidRDefault="00EA7B31" w:rsidP="0043643B"/>
          <w:p w14:paraId="04E66A4F" w14:textId="77777777" w:rsidR="00EA7B31" w:rsidRDefault="00EA7B31" w:rsidP="0043643B"/>
          <w:p w14:paraId="055B312F" w14:textId="77777777" w:rsidR="00EE4715" w:rsidRDefault="00EE4715" w:rsidP="0043643B"/>
          <w:p w14:paraId="7587DA8E" w14:textId="77777777" w:rsidR="00EE4715" w:rsidRDefault="00EE4715" w:rsidP="0043643B"/>
          <w:p w14:paraId="47D61FEB" w14:textId="77777777" w:rsidR="00EE4715" w:rsidRDefault="00EE4715" w:rsidP="0043643B"/>
          <w:p w14:paraId="3BECE376" w14:textId="77777777" w:rsidR="00EE4715" w:rsidRDefault="00EE4715" w:rsidP="0043643B"/>
          <w:p w14:paraId="4A079FCE" w14:textId="77777777" w:rsidR="00EE4715" w:rsidRDefault="00EE4715" w:rsidP="0043643B"/>
          <w:p w14:paraId="23F53CE4" w14:textId="77777777" w:rsidR="00EA7B31" w:rsidRDefault="00EA7B31" w:rsidP="0043643B"/>
          <w:p w14:paraId="7F554833" w14:textId="77777777" w:rsidR="00EA7B31" w:rsidRDefault="00EA7B31" w:rsidP="0043643B"/>
          <w:p w14:paraId="297FDAB8" w14:textId="77777777" w:rsidR="00EA7B31" w:rsidRDefault="00EA7B31" w:rsidP="0043643B"/>
          <w:p w14:paraId="179A181A" w14:textId="77777777" w:rsidR="00EA7B31" w:rsidRDefault="00EA7B31" w:rsidP="0043643B"/>
          <w:p w14:paraId="1E677246" w14:textId="77777777" w:rsidR="00EA7B31" w:rsidRDefault="00EA7B31" w:rsidP="0043643B"/>
          <w:p w14:paraId="5BC802EB" w14:textId="77777777" w:rsidR="00C024C0" w:rsidRDefault="00C024C0" w:rsidP="0043643B"/>
          <w:p w14:paraId="54B75DB6" w14:textId="77777777" w:rsidR="00C024C0" w:rsidRDefault="00C024C0" w:rsidP="0043643B"/>
          <w:p w14:paraId="32FB86FA" w14:textId="77777777" w:rsidR="00EA7B31" w:rsidRDefault="00EA7B31" w:rsidP="0043643B"/>
          <w:p w14:paraId="0DF8FBFC" w14:textId="77777777" w:rsidR="00A25E34" w:rsidRDefault="00A25E34" w:rsidP="0043643B"/>
          <w:p w14:paraId="7EF1CAFA" w14:textId="02625ECC" w:rsidR="002625D9" w:rsidRPr="007A28AF" w:rsidRDefault="002625D9" w:rsidP="007A28AF">
            <w:pPr>
              <w:rPr>
                <w:b/>
                <w:bCs/>
              </w:rPr>
            </w:pPr>
            <w:r w:rsidRPr="00074919">
              <w:rPr>
                <w:b/>
                <w:bCs/>
              </w:rPr>
              <w:t>Financial matters (academies)</w:t>
            </w:r>
          </w:p>
          <w:p w14:paraId="376A6B40" w14:textId="516EEF78" w:rsidR="002625D9" w:rsidRDefault="00EA7B31" w:rsidP="00AF60D0">
            <w:pPr>
              <w:pStyle w:val="ListParagraph"/>
              <w:numPr>
                <w:ilvl w:val="0"/>
                <w:numId w:val="5"/>
              </w:numPr>
            </w:pPr>
            <w:r>
              <w:t xml:space="preserve">Budget Forecast Return (BFR) deadline for submission is </w:t>
            </w:r>
            <w:r w:rsidR="00634335">
              <w:t>31</w:t>
            </w:r>
            <w:r w:rsidR="00A24BCC">
              <w:t>August 202</w:t>
            </w:r>
            <w:r w:rsidR="00634335">
              <w:t>6</w:t>
            </w:r>
          </w:p>
          <w:p w14:paraId="22BDFCF8" w14:textId="4A403183" w:rsidR="00634335" w:rsidRDefault="00723235" w:rsidP="00AF60D0">
            <w:pPr>
              <w:pStyle w:val="ListParagraph"/>
              <w:numPr>
                <w:ilvl w:val="0"/>
                <w:numId w:val="5"/>
              </w:numPr>
            </w:pPr>
            <w:hyperlink r:id="rId13" w:history="1">
              <w:r w:rsidR="00634335" w:rsidRPr="00EE4715">
                <w:rPr>
                  <w:rStyle w:val="Hyperlink"/>
                </w:rPr>
                <w:t xml:space="preserve">Academies Accounts Direction (ADD) 2025 </w:t>
              </w:r>
              <w:r w:rsidR="00C024C0" w:rsidRPr="00EE4715">
                <w:rPr>
                  <w:rStyle w:val="Hyperlink"/>
                </w:rPr>
                <w:t>–</w:t>
              </w:r>
              <w:r w:rsidR="00634335" w:rsidRPr="00EE4715">
                <w:rPr>
                  <w:rStyle w:val="Hyperlink"/>
                </w:rPr>
                <w:t xml:space="preserve"> 2026</w:t>
              </w:r>
            </w:hyperlink>
          </w:p>
          <w:p w14:paraId="71B7B5C4" w14:textId="4FA96FDC" w:rsidR="00EA7B31" w:rsidRDefault="00EA7B31" w:rsidP="00AF60D0">
            <w:pPr>
              <w:pStyle w:val="ListParagraph"/>
              <w:numPr>
                <w:ilvl w:val="0"/>
                <w:numId w:val="5"/>
              </w:numPr>
            </w:pPr>
            <w:r>
              <w:t>Academies Trust Handbook 202</w:t>
            </w:r>
            <w:r w:rsidR="00634335">
              <w:t>6</w:t>
            </w:r>
            <w:r w:rsidR="00A24BCC">
              <w:t xml:space="preserve"> (to be published in July 202</w:t>
            </w:r>
            <w:r w:rsidR="00634335">
              <w:t>6</w:t>
            </w:r>
            <w:r w:rsidR="00A24BCC">
              <w:t>)</w:t>
            </w:r>
          </w:p>
          <w:p w14:paraId="4404A2F5" w14:textId="3F651542" w:rsidR="00EA7B31" w:rsidRDefault="00EA7B31" w:rsidP="00EA7B31">
            <w:pPr>
              <w:pStyle w:val="ListParagraph"/>
              <w:numPr>
                <w:ilvl w:val="0"/>
                <w:numId w:val="5"/>
              </w:numPr>
            </w:pPr>
            <w:r>
              <w:t>CIF outcome</w:t>
            </w:r>
            <w:r w:rsidR="00A24BCC">
              <w:t xml:space="preserve"> (expected May 202</w:t>
            </w:r>
            <w:r w:rsidR="00634335">
              <w:t>6</w:t>
            </w:r>
            <w:r w:rsidR="00A24BCC">
              <w:t>)</w:t>
            </w:r>
          </w:p>
          <w:p w14:paraId="1A64C383" w14:textId="4980F39D" w:rsidR="00AF60D0" w:rsidRDefault="00AF60D0" w:rsidP="00AF60D0">
            <w:pPr>
              <w:pStyle w:val="ListParagraph"/>
              <w:numPr>
                <w:ilvl w:val="0"/>
                <w:numId w:val="5"/>
              </w:numPr>
            </w:pPr>
            <w:r>
              <w:t>Internal Audit Report – review and ensure there are no significant weaknesses, address all findings as appropriate</w:t>
            </w:r>
          </w:p>
          <w:p w14:paraId="16FA0F24" w14:textId="6B6BA938" w:rsidR="00AF60D0" w:rsidRDefault="00AF60D0" w:rsidP="00AF60D0">
            <w:pPr>
              <w:pStyle w:val="ListParagraph"/>
              <w:numPr>
                <w:ilvl w:val="0"/>
                <w:numId w:val="5"/>
              </w:numPr>
            </w:pPr>
            <w:r>
              <w:t>Update Financial Regulations and the Scheme of Delegation – as per your annual cycle</w:t>
            </w:r>
          </w:p>
          <w:p w14:paraId="418065C0" w14:textId="77777777" w:rsidR="00AF60D0" w:rsidRPr="00074919" w:rsidRDefault="00AF60D0" w:rsidP="00AF60D0">
            <w:pPr>
              <w:pStyle w:val="ListParagraph"/>
            </w:pPr>
          </w:p>
          <w:p w14:paraId="53AA7EAA" w14:textId="77777777" w:rsidR="002625D9" w:rsidRPr="00074919" w:rsidRDefault="002625D9" w:rsidP="002625D9">
            <w:pPr>
              <w:rPr>
                <w:b/>
                <w:bCs/>
              </w:rPr>
            </w:pPr>
            <w:r w:rsidRPr="00074919">
              <w:rPr>
                <w:b/>
                <w:bCs/>
              </w:rPr>
              <w:t>Financial matters (maintained schools)</w:t>
            </w:r>
          </w:p>
          <w:p w14:paraId="0E9C87FA" w14:textId="7F88807A" w:rsidR="007D0ACC" w:rsidRPr="00074919" w:rsidRDefault="002625D9" w:rsidP="0030016F">
            <w:pPr>
              <w:pStyle w:val="ListParagraph"/>
              <w:numPr>
                <w:ilvl w:val="0"/>
                <w:numId w:val="5"/>
              </w:numPr>
              <w:spacing w:after="200" w:line="276" w:lineRule="auto"/>
            </w:pPr>
            <w:r w:rsidRPr="00074919">
              <w:lastRenderedPageBreak/>
              <w:t>Reconciliation statement/financial update/virements</w:t>
            </w:r>
          </w:p>
          <w:p w14:paraId="26208157" w14:textId="28A7CF72" w:rsidR="002625D9" w:rsidRPr="00074919" w:rsidRDefault="002625D9" w:rsidP="007D0ACC">
            <w:pPr>
              <w:pStyle w:val="ListParagraph"/>
              <w:numPr>
                <w:ilvl w:val="0"/>
                <w:numId w:val="5"/>
              </w:numPr>
              <w:spacing w:after="200" w:line="276" w:lineRule="auto"/>
            </w:pPr>
            <w:r w:rsidRPr="00074919">
              <w:t>Trading accounts update – catering, breakfast club, childcare etc.</w:t>
            </w:r>
            <w:r w:rsidR="00AF60D0">
              <w:t xml:space="preserve"> should be reviewed to assess their financial viability and ensure they are operating within budget</w:t>
            </w:r>
          </w:p>
          <w:p w14:paraId="1BEAA737" w14:textId="77777777" w:rsidR="007D0ACC" w:rsidRDefault="007D0ACC" w:rsidP="007D0ACC">
            <w:pPr>
              <w:pStyle w:val="ListParagraph"/>
              <w:numPr>
                <w:ilvl w:val="0"/>
                <w:numId w:val="5"/>
              </w:numPr>
            </w:pPr>
            <w:r>
              <w:t>Review Financial Regulations and the scheme of delegation of financial powers (annual requirement)</w:t>
            </w:r>
          </w:p>
          <w:p w14:paraId="2CE88B50" w14:textId="7382EFA6" w:rsidR="001C252B" w:rsidRDefault="007D0ACC" w:rsidP="0030016F">
            <w:pPr>
              <w:pStyle w:val="ListParagraph"/>
              <w:numPr>
                <w:ilvl w:val="0"/>
                <w:numId w:val="5"/>
              </w:numPr>
              <w:spacing w:after="200" w:line="276" w:lineRule="auto"/>
            </w:pPr>
            <w:r>
              <w:t>Internal Controls Evaluation (ICE) report and statement</w:t>
            </w:r>
            <w:r w:rsidR="00AF60D0">
              <w:t xml:space="preserve"> – the governing board must review and make sure that any identified issues are addressed</w:t>
            </w:r>
          </w:p>
          <w:p w14:paraId="254C013A" w14:textId="4A737418" w:rsidR="00A24BCC" w:rsidRDefault="00A24BCC" w:rsidP="0030016F">
            <w:pPr>
              <w:pStyle w:val="ListParagraph"/>
              <w:numPr>
                <w:ilvl w:val="0"/>
                <w:numId w:val="5"/>
              </w:numPr>
              <w:spacing w:after="200" w:line="276" w:lineRule="auto"/>
            </w:pPr>
            <w:r>
              <w:t>Carry out financial benchmarking and assess value for money</w:t>
            </w:r>
          </w:p>
          <w:p w14:paraId="15386287" w14:textId="4C9B0740" w:rsidR="00DA7032" w:rsidRPr="00074919" w:rsidRDefault="00DA7032" w:rsidP="0030016F">
            <w:pPr>
              <w:pStyle w:val="ListParagraph"/>
              <w:numPr>
                <w:ilvl w:val="0"/>
                <w:numId w:val="5"/>
              </w:numPr>
              <w:spacing w:after="200" w:line="276" w:lineRule="auto"/>
            </w:pPr>
            <w:r>
              <w:t xml:space="preserve">Ensure the </w:t>
            </w:r>
            <w:hyperlink r:id="rId14" w:history="1">
              <w:r w:rsidRPr="00DA7032">
                <w:rPr>
                  <w:rStyle w:val="Hyperlink"/>
                </w:rPr>
                <w:t>consistent financial reporting (CFR) framework</w:t>
              </w:r>
            </w:hyperlink>
            <w:r>
              <w:t xml:space="preserve"> is completed and submitted</w:t>
            </w:r>
          </w:p>
          <w:p w14:paraId="5118BA1C" w14:textId="77777777" w:rsidR="002625D9" w:rsidRPr="00074919" w:rsidRDefault="002625D9" w:rsidP="002625D9">
            <w:pPr>
              <w:rPr>
                <w:b/>
                <w:bCs/>
              </w:rPr>
            </w:pPr>
            <w:r w:rsidRPr="00074919">
              <w:rPr>
                <w:b/>
                <w:bCs/>
              </w:rPr>
              <w:t>Also consider</w:t>
            </w:r>
          </w:p>
          <w:p w14:paraId="22232F41" w14:textId="1992EAE8" w:rsidR="003D63F4" w:rsidRDefault="00AF60D0" w:rsidP="007D0ACC">
            <w:pPr>
              <w:pStyle w:val="ListParagraph"/>
              <w:numPr>
                <w:ilvl w:val="0"/>
                <w:numId w:val="8"/>
              </w:numPr>
            </w:pPr>
            <w:r>
              <w:t>Receive Health &amp; Safety report. While there isn’t a specific statutory deadline for when the report must be received, it is generally expected that this review takes place during one of the governing board meetings, often scheduled during the Spring or Summer term</w:t>
            </w:r>
          </w:p>
          <w:p w14:paraId="6C08436D" w14:textId="712821F3" w:rsidR="001C252B" w:rsidRDefault="001C252B" w:rsidP="007D0ACC">
            <w:pPr>
              <w:pStyle w:val="ListParagraph"/>
              <w:numPr>
                <w:ilvl w:val="0"/>
                <w:numId w:val="8"/>
              </w:numPr>
            </w:pPr>
            <w:r>
              <w:t>Review information demonstrating compliance with the Public Sector Equality Duty annually and publish equality objectives at least every four years</w:t>
            </w:r>
          </w:p>
          <w:p w14:paraId="682C7CC2" w14:textId="54D3DF99" w:rsidR="001C252B" w:rsidRPr="003D63F4" w:rsidRDefault="001C252B" w:rsidP="007D0ACC">
            <w:pPr>
              <w:pStyle w:val="ListParagraph"/>
              <w:numPr>
                <w:ilvl w:val="0"/>
                <w:numId w:val="8"/>
              </w:numPr>
            </w:pPr>
            <w:r>
              <w:t>Review and agree any staffing structure changes (initially considered by a Committee and if substantial changes required approved by the governing board)</w:t>
            </w:r>
          </w:p>
          <w:p w14:paraId="22C8DE09" w14:textId="1099E264" w:rsidR="007D0ACC" w:rsidRPr="00D37B35" w:rsidRDefault="00D37B35" w:rsidP="007D0ACC">
            <w:pPr>
              <w:pStyle w:val="ListParagraph"/>
              <w:numPr>
                <w:ilvl w:val="0"/>
                <w:numId w:val="8"/>
              </w:numPr>
            </w:pPr>
            <w:r w:rsidRPr="00D37B35">
              <w:t xml:space="preserve">Policy </w:t>
            </w:r>
            <w:r w:rsidR="00A0418C" w:rsidRPr="00D37B35">
              <w:t>reviews</w:t>
            </w:r>
            <w:r w:rsidRPr="00D37B35">
              <w:t xml:space="preserve"> </w:t>
            </w:r>
            <w:r w:rsidR="00A0418C">
              <w:t>as per your policy schedule</w:t>
            </w:r>
          </w:p>
          <w:p w14:paraId="45799A99" w14:textId="2BA657B9" w:rsidR="007D0ACC" w:rsidRPr="00AF60D0" w:rsidRDefault="007D0ACC" w:rsidP="00AF60D0">
            <w:pPr>
              <w:pStyle w:val="ListParagraph"/>
              <w:numPr>
                <w:ilvl w:val="0"/>
                <w:numId w:val="8"/>
              </w:numPr>
              <w:rPr>
                <w:b/>
                <w:bCs/>
              </w:rPr>
            </w:pPr>
            <w:r w:rsidRPr="007D0ACC">
              <w:rPr>
                <w:bCs/>
              </w:rPr>
              <w:t>Review website and published materials about the school</w:t>
            </w:r>
            <w:r w:rsidR="0084236E">
              <w:rPr>
                <w:bCs/>
              </w:rPr>
              <w:t xml:space="preserve"> (</w:t>
            </w:r>
            <w:hyperlink r:id="rId15" w:history="1">
              <w:r w:rsidR="0084236E" w:rsidRPr="0084236E">
                <w:rPr>
                  <w:rStyle w:val="Hyperlink"/>
                  <w:bCs/>
                </w:rPr>
                <w:t>maintained schools</w:t>
              </w:r>
            </w:hyperlink>
            <w:r w:rsidR="0084236E">
              <w:rPr>
                <w:bCs/>
              </w:rPr>
              <w:t xml:space="preserve"> and </w:t>
            </w:r>
            <w:hyperlink r:id="rId16" w:history="1">
              <w:r w:rsidR="0084236E" w:rsidRPr="0084236E">
                <w:rPr>
                  <w:rStyle w:val="Hyperlink"/>
                  <w:bCs/>
                </w:rPr>
                <w:t>academies</w:t>
              </w:r>
            </w:hyperlink>
            <w:r w:rsidR="0084236E">
              <w:rPr>
                <w:bCs/>
              </w:rPr>
              <w:t>)</w:t>
            </w:r>
          </w:p>
          <w:p w14:paraId="652CBA65" w14:textId="04F11CA4" w:rsidR="007D0ACC" w:rsidRPr="007D0ACC" w:rsidRDefault="007D0ACC" w:rsidP="007D0ACC">
            <w:pPr>
              <w:pStyle w:val="ListParagraph"/>
              <w:numPr>
                <w:ilvl w:val="0"/>
                <w:numId w:val="8"/>
              </w:numPr>
              <w:rPr>
                <w:b/>
                <w:bCs/>
              </w:rPr>
            </w:pPr>
            <w:r w:rsidRPr="007D0ACC">
              <w:rPr>
                <w:bCs/>
              </w:rPr>
              <w:t>Budget planning and monitoring</w:t>
            </w:r>
          </w:p>
          <w:p w14:paraId="7FF79439" w14:textId="4D41623D" w:rsidR="007D0ACC" w:rsidRPr="007D0ACC" w:rsidRDefault="007D0ACC" w:rsidP="007D0ACC">
            <w:pPr>
              <w:pStyle w:val="ListParagraph"/>
              <w:numPr>
                <w:ilvl w:val="0"/>
                <w:numId w:val="8"/>
              </w:numPr>
              <w:rPr>
                <w:b/>
                <w:bCs/>
              </w:rPr>
            </w:pPr>
            <w:r w:rsidRPr="007D0ACC">
              <w:rPr>
                <w:bCs/>
              </w:rPr>
              <w:t>Contract monitoring</w:t>
            </w:r>
            <w:r w:rsidR="00AF60D0">
              <w:rPr>
                <w:bCs/>
              </w:rPr>
              <w:t xml:space="preserve"> – review performance of contracts, renewals or changes that are needed</w:t>
            </w:r>
          </w:p>
          <w:p w14:paraId="57FE3F40" w14:textId="091B2EBC" w:rsidR="007D0ACC" w:rsidRPr="00AF60D0" w:rsidRDefault="007D0ACC" w:rsidP="007D0ACC">
            <w:pPr>
              <w:pStyle w:val="ListParagraph"/>
              <w:numPr>
                <w:ilvl w:val="0"/>
                <w:numId w:val="8"/>
              </w:numPr>
              <w:rPr>
                <w:b/>
                <w:bCs/>
              </w:rPr>
            </w:pPr>
            <w:r w:rsidRPr="007D0ACC">
              <w:t>Ofsted alert</w:t>
            </w:r>
            <w:r w:rsidR="00AF60D0">
              <w:t>s</w:t>
            </w:r>
            <w:r w:rsidRPr="007D0ACC">
              <w:t xml:space="preserve"> or </w:t>
            </w:r>
            <w:r w:rsidRPr="00AF60D0">
              <w:t>information (</w:t>
            </w:r>
            <w:r w:rsidR="00AF60D0" w:rsidRPr="00AF60D0">
              <w:rPr>
                <w:color w:val="000000"/>
              </w:rPr>
              <w:t>governing b</w:t>
            </w:r>
            <w:r w:rsidR="00AF60D0">
              <w:rPr>
                <w:color w:val="000000"/>
              </w:rPr>
              <w:t>oards</w:t>
            </w:r>
            <w:r w:rsidR="00AF60D0" w:rsidRPr="00AF60D0">
              <w:rPr>
                <w:color w:val="000000"/>
              </w:rPr>
              <w:t xml:space="preserve"> should ensure they are prepared for a potential inspection, reviewing their self-evaluation and any evidence of school improvement</w:t>
            </w:r>
            <w:r w:rsidR="00AF60D0">
              <w:rPr>
                <w:color w:val="000000"/>
              </w:rPr>
              <w:t>)</w:t>
            </w:r>
          </w:p>
          <w:p w14:paraId="7585E90D" w14:textId="4E53E11F" w:rsidR="0084236E" w:rsidRPr="007D0ACC" w:rsidRDefault="007D0ACC" w:rsidP="00AF60D0">
            <w:pPr>
              <w:pStyle w:val="ListParagraph"/>
              <w:numPr>
                <w:ilvl w:val="0"/>
                <w:numId w:val="8"/>
              </w:numPr>
            </w:pPr>
            <w:r w:rsidRPr="007D0ACC">
              <w:t>Confidential agenda if required</w:t>
            </w:r>
          </w:p>
          <w:p w14:paraId="1AFEB17A" w14:textId="77777777" w:rsidR="00F725D0" w:rsidRDefault="007D0ACC" w:rsidP="00AF60D0">
            <w:pPr>
              <w:pStyle w:val="ListParagraph"/>
              <w:numPr>
                <w:ilvl w:val="0"/>
                <w:numId w:val="8"/>
              </w:numPr>
            </w:pPr>
            <w:r w:rsidRPr="007D0ACC">
              <w:t>Asset management plan and capacity review</w:t>
            </w:r>
          </w:p>
          <w:p w14:paraId="22CCA6DB" w14:textId="3D97575A" w:rsidR="00AF60D0" w:rsidRDefault="00AF60D0" w:rsidP="00AF60D0">
            <w:pPr>
              <w:pStyle w:val="ListParagraph"/>
              <w:numPr>
                <w:ilvl w:val="0"/>
                <w:numId w:val="8"/>
              </w:numPr>
            </w:pPr>
            <w:r>
              <w:t xml:space="preserve">Staff training – </w:t>
            </w:r>
            <w:r w:rsidR="00C024C0">
              <w:t xml:space="preserve">report confirming the provision of </w:t>
            </w:r>
            <w:r>
              <w:t>professional development to ensure staff are informed about recent changes</w:t>
            </w:r>
          </w:p>
          <w:p w14:paraId="4EC2AA1E" w14:textId="77777777" w:rsidR="00AF60D0" w:rsidRDefault="00AF60D0" w:rsidP="00AF60D0">
            <w:pPr>
              <w:pStyle w:val="ListParagraph"/>
              <w:numPr>
                <w:ilvl w:val="0"/>
                <w:numId w:val="8"/>
              </w:numPr>
            </w:pPr>
            <w:r>
              <w:t>Stakeholder communication – keep parents, students, and the wider community informed about relevant updates</w:t>
            </w:r>
          </w:p>
          <w:p w14:paraId="196DD534" w14:textId="5BACB516" w:rsidR="00DA7032" w:rsidRDefault="00DA7032" w:rsidP="00AF60D0">
            <w:pPr>
              <w:pStyle w:val="ListParagraph"/>
              <w:numPr>
                <w:ilvl w:val="0"/>
                <w:numId w:val="8"/>
              </w:numPr>
            </w:pPr>
            <w:r>
              <w:t>Conduct governing board self-evaluation</w:t>
            </w:r>
            <w:r w:rsidR="00C024C0">
              <w:t xml:space="preserve">/skills audit </w:t>
            </w:r>
          </w:p>
          <w:p w14:paraId="01DD196B" w14:textId="77777777" w:rsidR="00DA7032" w:rsidRDefault="00DA7032" w:rsidP="00107BB8">
            <w:pPr>
              <w:pStyle w:val="ListParagraph"/>
            </w:pPr>
          </w:p>
          <w:p w14:paraId="5E2775CF" w14:textId="77777777" w:rsidR="00070D4E" w:rsidRDefault="00070D4E" w:rsidP="00107BB8">
            <w:pPr>
              <w:pStyle w:val="ListParagraph"/>
            </w:pPr>
          </w:p>
          <w:p w14:paraId="577125EC" w14:textId="32B5DFD2" w:rsidR="00070D4E" w:rsidRDefault="00070D4E" w:rsidP="00070D4E">
            <w:r>
              <w:t xml:space="preserve">Additional suggestions that you </w:t>
            </w:r>
            <w:r w:rsidRPr="00070D4E">
              <w:rPr>
                <w:u w:val="single"/>
              </w:rPr>
              <w:t>may</w:t>
            </w:r>
            <w:r>
              <w:t xml:space="preserve"> want to consider this term (2026):</w:t>
            </w:r>
          </w:p>
          <w:p w14:paraId="0328E2CC" w14:textId="315E9EB1" w:rsidR="00070D4E" w:rsidRDefault="00070D4E" w:rsidP="00070D4E">
            <w:pPr>
              <w:pStyle w:val="ListParagraph"/>
              <w:numPr>
                <w:ilvl w:val="0"/>
                <w:numId w:val="10"/>
              </w:numPr>
            </w:pPr>
            <w:r>
              <w:t>Free Breakfast Club programme rollout – if you are a target school</w:t>
            </w:r>
          </w:p>
          <w:p w14:paraId="4E797CCE" w14:textId="5055D5B7" w:rsidR="00070D4E" w:rsidRDefault="00070D4E" w:rsidP="00070D4E">
            <w:pPr>
              <w:pStyle w:val="ListParagraph"/>
              <w:numPr>
                <w:ilvl w:val="0"/>
                <w:numId w:val="10"/>
              </w:numPr>
            </w:pPr>
            <w:r>
              <w:t>Free School Meals expansion in September</w:t>
            </w:r>
          </w:p>
          <w:p w14:paraId="4F39CCAB" w14:textId="5B74E913" w:rsidR="00070D4E" w:rsidRDefault="00070D4E" w:rsidP="00070D4E">
            <w:pPr>
              <w:pStyle w:val="ListParagraph"/>
              <w:numPr>
                <w:ilvl w:val="0"/>
                <w:numId w:val="10"/>
              </w:numPr>
            </w:pPr>
            <w:r>
              <w:t>Wrap around childcare</w:t>
            </w:r>
          </w:p>
          <w:p w14:paraId="3CB0E7D2" w14:textId="388FF4FF" w:rsidR="00070D4E" w:rsidRDefault="00070D4E" w:rsidP="00070D4E">
            <w:pPr>
              <w:pStyle w:val="ListParagraph"/>
              <w:numPr>
                <w:ilvl w:val="0"/>
                <w:numId w:val="10"/>
              </w:numPr>
            </w:pPr>
            <w:r>
              <w:t>The White Paper – all schools in Trusts: “quality not pace”</w:t>
            </w:r>
          </w:p>
          <w:p w14:paraId="4DE5D61A" w14:textId="74A50C2A" w:rsidR="00070D4E" w:rsidRDefault="00070D4E" w:rsidP="00070D4E">
            <w:pPr>
              <w:pStyle w:val="ListParagraph"/>
              <w:numPr>
                <w:ilvl w:val="0"/>
                <w:numId w:val="10"/>
              </w:numPr>
            </w:pPr>
            <w:r>
              <w:t>PE and Sports Premium digital expenditure reporting return (published in June, return by 31 July)</w:t>
            </w:r>
          </w:p>
          <w:p w14:paraId="21DE4905" w14:textId="45CD0B54" w:rsidR="00AF60D0" w:rsidRDefault="00AF60D0" w:rsidP="0030016F">
            <w:pPr>
              <w:ind w:left="360"/>
            </w:pPr>
          </w:p>
        </w:tc>
      </w:tr>
    </w:tbl>
    <w:p w14:paraId="68B61705" w14:textId="77777777" w:rsidR="00F40A72" w:rsidRDefault="00F40A72"/>
    <w:sectPr w:rsidR="00F40A72" w:rsidSect="00B31DCF">
      <w:footerReference w:type="even" r:id="rId17"/>
      <w:footerReference w:type="default" r:id="rId1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97E96" w14:textId="77777777" w:rsidR="00723235" w:rsidRDefault="00723235" w:rsidP="00D7645F">
      <w:r>
        <w:separator/>
      </w:r>
    </w:p>
  </w:endnote>
  <w:endnote w:type="continuationSeparator" w:id="0">
    <w:p w14:paraId="25C1AE98" w14:textId="77777777" w:rsidR="00723235" w:rsidRDefault="00723235" w:rsidP="00D7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40324410"/>
      <w:docPartObj>
        <w:docPartGallery w:val="Page Numbers (Bottom of Page)"/>
        <w:docPartUnique/>
      </w:docPartObj>
    </w:sdtPr>
    <w:sdtEndPr>
      <w:rPr>
        <w:rStyle w:val="PageNumber"/>
      </w:rPr>
    </w:sdtEndPr>
    <w:sdtContent>
      <w:p w14:paraId="32F8C18A" w14:textId="35A672F2" w:rsidR="00D7645F" w:rsidRDefault="00D7645F" w:rsidP="003A61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31DCF">
          <w:rPr>
            <w:rStyle w:val="PageNumber"/>
            <w:noProof/>
          </w:rPr>
          <w:t>1</w:t>
        </w:r>
        <w:r>
          <w:rPr>
            <w:rStyle w:val="PageNumber"/>
          </w:rPr>
          <w:fldChar w:fldCharType="end"/>
        </w:r>
      </w:p>
    </w:sdtContent>
  </w:sdt>
  <w:p w14:paraId="36674617" w14:textId="77777777" w:rsidR="00D7645F" w:rsidRDefault="00D764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31282964"/>
      <w:docPartObj>
        <w:docPartGallery w:val="Page Numbers (Bottom of Page)"/>
        <w:docPartUnique/>
      </w:docPartObj>
    </w:sdtPr>
    <w:sdtEndPr>
      <w:rPr>
        <w:rStyle w:val="PageNumber"/>
      </w:rPr>
    </w:sdtEndPr>
    <w:sdtContent>
      <w:p w14:paraId="671FC01C" w14:textId="00DA132E" w:rsidR="00D7645F" w:rsidRDefault="00D7645F" w:rsidP="003A61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451EC">
          <w:rPr>
            <w:rStyle w:val="PageNumber"/>
            <w:noProof/>
          </w:rPr>
          <w:t>1</w:t>
        </w:r>
        <w:r>
          <w:rPr>
            <w:rStyle w:val="PageNumber"/>
          </w:rPr>
          <w:fldChar w:fldCharType="end"/>
        </w:r>
      </w:p>
    </w:sdtContent>
  </w:sdt>
  <w:p w14:paraId="7C731CAB" w14:textId="77777777" w:rsidR="00D7645F" w:rsidRDefault="00D76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761D4" w14:textId="77777777" w:rsidR="00723235" w:rsidRDefault="00723235" w:rsidP="00D7645F">
      <w:r>
        <w:separator/>
      </w:r>
    </w:p>
  </w:footnote>
  <w:footnote w:type="continuationSeparator" w:id="0">
    <w:p w14:paraId="150BF531" w14:textId="77777777" w:rsidR="00723235" w:rsidRDefault="00723235" w:rsidP="00D76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178E"/>
    <w:multiLevelType w:val="hybridMultilevel"/>
    <w:tmpl w:val="4F4CA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AE2492"/>
    <w:multiLevelType w:val="hybridMultilevel"/>
    <w:tmpl w:val="1CAC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627A8A"/>
    <w:multiLevelType w:val="hybridMultilevel"/>
    <w:tmpl w:val="9AB0BE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F035A1"/>
    <w:multiLevelType w:val="hybridMultilevel"/>
    <w:tmpl w:val="E6E8D5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53678"/>
    <w:multiLevelType w:val="hybridMultilevel"/>
    <w:tmpl w:val="BE9C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A75D6A"/>
    <w:multiLevelType w:val="hybridMultilevel"/>
    <w:tmpl w:val="EF0A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9B6D26"/>
    <w:multiLevelType w:val="hybridMultilevel"/>
    <w:tmpl w:val="28F8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9B15FC"/>
    <w:multiLevelType w:val="hybridMultilevel"/>
    <w:tmpl w:val="24B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354850"/>
    <w:multiLevelType w:val="hybridMultilevel"/>
    <w:tmpl w:val="D67A8B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9370EE8"/>
    <w:multiLevelType w:val="hybridMultilevel"/>
    <w:tmpl w:val="F89AAF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4"/>
  </w:num>
  <w:num w:numId="6">
    <w:abstractNumId w:val="5"/>
  </w:num>
  <w:num w:numId="7">
    <w:abstractNumId w:val="3"/>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72"/>
    <w:rsid w:val="00017744"/>
    <w:rsid w:val="0002063A"/>
    <w:rsid w:val="00020983"/>
    <w:rsid w:val="00025453"/>
    <w:rsid w:val="00047AE1"/>
    <w:rsid w:val="0006317E"/>
    <w:rsid w:val="00070D4E"/>
    <w:rsid w:val="00074919"/>
    <w:rsid w:val="000821E8"/>
    <w:rsid w:val="00094C41"/>
    <w:rsid w:val="000D40E9"/>
    <w:rsid w:val="00107BB8"/>
    <w:rsid w:val="0014160A"/>
    <w:rsid w:val="00146706"/>
    <w:rsid w:val="0015758B"/>
    <w:rsid w:val="00196919"/>
    <w:rsid w:val="001C252B"/>
    <w:rsid w:val="001E2D9A"/>
    <w:rsid w:val="0021065F"/>
    <w:rsid w:val="0022315B"/>
    <w:rsid w:val="00244FF1"/>
    <w:rsid w:val="002625D9"/>
    <w:rsid w:val="002667AB"/>
    <w:rsid w:val="00293E78"/>
    <w:rsid w:val="002A3214"/>
    <w:rsid w:val="002C6151"/>
    <w:rsid w:val="002E5946"/>
    <w:rsid w:val="0030016F"/>
    <w:rsid w:val="003451EC"/>
    <w:rsid w:val="0034525C"/>
    <w:rsid w:val="00377F64"/>
    <w:rsid w:val="003A381A"/>
    <w:rsid w:val="003B2069"/>
    <w:rsid w:val="003D63F4"/>
    <w:rsid w:val="003E2EEE"/>
    <w:rsid w:val="00434050"/>
    <w:rsid w:val="0043643B"/>
    <w:rsid w:val="00437F13"/>
    <w:rsid w:val="004D629D"/>
    <w:rsid w:val="005320B4"/>
    <w:rsid w:val="005340D1"/>
    <w:rsid w:val="005442F1"/>
    <w:rsid w:val="00565136"/>
    <w:rsid w:val="005A4269"/>
    <w:rsid w:val="005D697A"/>
    <w:rsid w:val="00634335"/>
    <w:rsid w:val="006B0BF0"/>
    <w:rsid w:val="006D12E3"/>
    <w:rsid w:val="00723235"/>
    <w:rsid w:val="00731B35"/>
    <w:rsid w:val="007650FE"/>
    <w:rsid w:val="007915AB"/>
    <w:rsid w:val="00791D4A"/>
    <w:rsid w:val="00794324"/>
    <w:rsid w:val="007A28AF"/>
    <w:rsid w:val="007A2F1E"/>
    <w:rsid w:val="007C1F29"/>
    <w:rsid w:val="007D0ACC"/>
    <w:rsid w:val="007D533F"/>
    <w:rsid w:val="007D5BC4"/>
    <w:rsid w:val="007E0F6F"/>
    <w:rsid w:val="007F735B"/>
    <w:rsid w:val="00817C68"/>
    <w:rsid w:val="00831790"/>
    <w:rsid w:val="0084236E"/>
    <w:rsid w:val="008478D6"/>
    <w:rsid w:val="008A07F1"/>
    <w:rsid w:val="008B0B04"/>
    <w:rsid w:val="008F4185"/>
    <w:rsid w:val="008F6A7A"/>
    <w:rsid w:val="009038BD"/>
    <w:rsid w:val="00950769"/>
    <w:rsid w:val="009607EC"/>
    <w:rsid w:val="00A0418C"/>
    <w:rsid w:val="00A24BCC"/>
    <w:rsid w:val="00A25E34"/>
    <w:rsid w:val="00A338A8"/>
    <w:rsid w:val="00A54E58"/>
    <w:rsid w:val="00A57A1A"/>
    <w:rsid w:val="00A8533C"/>
    <w:rsid w:val="00A864E4"/>
    <w:rsid w:val="00AD0F95"/>
    <w:rsid w:val="00AF60D0"/>
    <w:rsid w:val="00B010CB"/>
    <w:rsid w:val="00B31DCF"/>
    <w:rsid w:val="00B551FA"/>
    <w:rsid w:val="00B7170F"/>
    <w:rsid w:val="00B8678F"/>
    <w:rsid w:val="00BB690C"/>
    <w:rsid w:val="00BC57F6"/>
    <w:rsid w:val="00BC7471"/>
    <w:rsid w:val="00BD58CA"/>
    <w:rsid w:val="00C024C0"/>
    <w:rsid w:val="00C12973"/>
    <w:rsid w:val="00C27E27"/>
    <w:rsid w:val="00C3382D"/>
    <w:rsid w:val="00CC14A7"/>
    <w:rsid w:val="00CC6DA9"/>
    <w:rsid w:val="00CE3575"/>
    <w:rsid w:val="00CF2676"/>
    <w:rsid w:val="00D20E76"/>
    <w:rsid w:val="00D37B35"/>
    <w:rsid w:val="00D43659"/>
    <w:rsid w:val="00D547E7"/>
    <w:rsid w:val="00D55B6F"/>
    <w:rsid w:val="00D7645F"/>
    <w:rsid w:val="00DA20A7"/>
    <w:rsid w:val="00DA7032"/>
    <w:rsid w:val="00DB46EC"/>
    <w:rsid w:val="00DB4FD9"/>
    <w:rsid w:val="00DB71A5"/>
    <w:rsid w:val="00DC07A0"/>
    <w:rsid w:val="00E01E97"/>
    <w:rsid w:val="00E1030E"/>
    <w:rsid w:val="00E251E9"/>
    <w:rsid w:val="00E301CA"/>
    <w:rsid w:val="00E31776"/>
    <w:rsid w:val="00E66231"/>
    <w:rsid w:val="00E84E99"/>
    <w:rsid w:val="00E87464"/>
    <w:rsid w:val="00E9414C"/>
    <w:rsid w:val="00EA7B31"/>
    <w:rsid w:val="00ED314D"/>
    <w:rsid w:val="00EE4715"/>
    <w:rsid w:val="00F1040B"/>
    <w:rsid w:val="00F40A72"/>
    <w:rsid w:val="00F567EE"/>
    <w:rsid w:val="00F725D0"/>
    <w:rsid w:val="00FB646F"/>
    <w:rsid w:val="00FC7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0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A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A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A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A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A72"/>
    <w:rPr>
      <w:rFonts w:eastAsiaTheme="majorEastAsia" w:cstheme="majorBidi"/>
      <w:color w:val="272727" w:themeColor="text1" w:themeTint="D8"/>
    </w:rPr>
  </w:style>
  <w:style w:type="paragraph" w:styleId="Title">
    <w:name w:val="Title"/>
    <w:basedOn w:val="Normal"/>
    <w:next w:val="Normal"/>
    <w:link w:val="TitleChar"/>
    <w:uiPriority w:val="10"/>
    <w:qFormat/>
    <w:rsid w:val="00F40A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A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A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0A72"/>
    <w:rPr>
      <w:i/>
      <w:iCs/>
      <w:color w:val="404040" w:themeColor="text1" w:themeTint="BF"/>
    </w:rPr>
  </w:style>
  <w:style w:type="paragraph" w:styleId="ListParagraph">
    <w:name w:val="List Paragraph"/>
    <w:basedOn w:val="Normal"/>
    <w:uiPriority w:val="34"/>
    <w:qFormat/>
    <w:rsid w:val="00F40A72"/>
    <w:pPr>
      <w:ind w:left="720"/>
      <w:contextualSpacing/>
    </w:pPr>
  </w:style>
  <w:style w:type="character" w:styleId="IntenseEmphasis">
    <w:name w:val="Intense Emphasis"/>
    <w:basedOn w:val="DefaultParagraphFont"/>
    <w:uiPriority w:val="21"/>
    <w:qFormat/>
    <w:rsid w:val="00F40A72"/>
    <w:rPr>
      <w:i/>
      <w:iCs/>
      <w:color w:val="0F4761" w:themeColor="accent1" w:themeShade="BF"/>
    </w:rPr>
  </w:style>
  <w:style w:type="paragraph" w:styleId="IntenseQuote">
    <w:name w:val="Intense Quote"/>
    <w:basedOn w:val="Normal"/>
    <w:next w:val="Normal"/>
    <w:link w:val="IntenseQuoteChar"/>
    <w:uiPriority w:val="30"/>
    <w:qFormat/>
    <w:rsid w:val="00F40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A72"/>
    <w:rPr>
      <w:i/>
      <w:iCs/>
      <w:color w:val="0F4761" w:themeColor="accent1" w:themeShade="BF"/>
    </w:rPr>
  </w:style>
  <w:style w:type="character" w:styleId="IntenseReference">
    <w:name w:val="Intense Reference"/>
    <w:basedOn w:val="DefaultParagraphFont"/>
    <w:uiPriority w:val="32"/>
    <w:qFormat/>
    <w:rsid w:val="00F40A72"/>
    <w:rPr>
      <w:b/>
      <w:bCs/>
      <w:smallCaps/>
      <w:color w:val="0F4761" w:themeColor="accent1" w:themeShade="BF"/>
      <w:spacing w:val="5"/>
    </w:rPr>
  </w:style>
  <w:style w:type="table" w:styleId="TableGrid">
    <w:name w:val="Table Grid"/>
    <w:basedOn w:val="TableNormal"/>
    <w:uiPriority w:val="39"/>
    <w:rsid w:val="00F40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160A"/>
    <w:rPr>
      <w:rFonts w:ascii="Arial" w:hAnsi="Arial" w:cs="Arial"/>
      <w:kern w:val="0"/>
      <w14:ligatures w14:val="none"/>
    </w:rPr>
  </w:style>
  <w:style w:type="character" w:styleId="Hyperlink">
    <w:name w:val="Hyperlink"/>
    <w:basedOn w:val="DefaultParagraphFont"/>
    <w:uiPriority w:val="99"/>
    <w:unhideWhenUsed/>
    <w:rsid w:val="00F725D0"/>
    <w:rPr>
      <w:color w:val="467886" w:themeColor="hyperlink"/>
      <w:u w:val="single"/>
    </w:rPr>
  </w:style>
  <w:style w:type="character" w:customStyle="1" w:styleId="UnresolvedMention">
    <w:name w:val="Unresolved Mention"/>
    <w:basedOn w:val="DefaultParagraphFont"/>
    <w:uiPriority w:val="99"/>
    <w:semiHidden/>
    <w:unhideWhenUsed/>
    <w:rsid w:val="00F725D0"/>
    <w:rPr>
      <w:color w:val="605E5C"/>
      <w:shd w:val="clear" w:color="auto" w:fill="E1DFDD"/>
    </w:rPr>
  </w:style>
  <w:style w:type="paragraph" w:styleId="Footer">
    <w:name w:val="footer"/>
    <w:basedOn w:val="Normal"/>
    <w:link w:val="FooterChar"/>
    <w:uiPriority w:val="99"/>
    <w:unhideWhenUsed/>
    <w:rsid w:val="00D7645F"/>
    <w:pPr>
      <w:tabs>
        <w:tab w:val="center" w:pos="4513"/>
        <w:tab w:val="right" w:pos="9026"/>
      </w:tabs>
    </w:pPr>
  </w:style>
  <w:style w:type="character" w:customStyle="1" w:styleId="FooterChar">
    <w:name w:val="Footer Char"/>
    <w:basedOn w:val="DefaultParagraphFont"/>
    <w:link w:val="Footer"/>
    <w:uiPriority w:val="99"/>
    <w:rsid w:val="00D7645F"/>
  </w:style>
  <w:style w:type="character" w:styleId="PageNumber">
    <w:name w:val="page number"/>
    <w:basedOn w:val="DefaultParagraphFont"/>
    <w:uiPriority w:val="99"/>
    <w:semiHidden/>
    <w:unhideWhenUsed/>
    <w:rsid w:val="00D7645F"/>
  </w:style>
  <w:style w:type="character" w:styleId="FollowedHyperlink">
    <w:name w:val="FollowedHyperlink"/>
    <w:basedOn w:val="DefaultParagraphFont"/>
    <w:uiPriority w:val="99"/>
    <w:semiHidden/>
    <w:unhideWhenUsed/>
    <w:rsid w:val="003B2069"/>
    <w:rPr>
      <w:color w:val="96607D" w:themeColor="followedHyperlink"/>
      <w:u w:val="single"/>
    </w:rPr>
  </w:style>
  <w:style w:type="paragraph" w:customStyle="1" w:styleId="p1">
    <w:name w:val="p1"/>
    <w:basedOn w:val="Normal"/>
    <w:rsid w:val="00565136"/>
    <w:rPr>
      <w:rFonts w:ascii=".AppleSystemUIFont" w:eastAsia="Times New Roman" w:hAnsi=".AppleSystemUIFont" w:cs="Times New Roman"/>
      <w:color w:val="0E0E0E"/>
      <w:kern w:val="0"/>
      <w:sz w:val="21"/>
      <w:szCs w:val="21"/>
      <w:lang w:eastAsia="en-GB"/>
      <w14:ligatures w14:val="none"/>
    </w:rPr>
  </w:style>
  <w:style w:type="paragraph" w:customStyle="1" w:styleId="p2">
    <w:name w:val="p2"/>
    <w:basedOn w:val="Normal"/>
    <w:rsid w:val="00146706"/>
    <w:rPr>
      <w:rFonts w:ascii=".AppleSystemUIFont" w:eastAsia="Times New Roman" w:hAnsi=".AppleSystemUIFont" w:cs="Times New Roman"/>
      <w:color w:val="0E0E0E"/>
      <w:kern w:val="0"/>
      <w:sz w:val="21"/>
      <w:szCs w:val="21"/>
      <w:lang w:eastAsia="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0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A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A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A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A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A72"/>
    <w:rPr>
      <w:rFonts w:eastAsiaTheme="majorEastAsia" w:cstheme="majorBidi"/>
      <w:color w:val="272727" w:themeColor="text1" w:themeTint="D8"/>
    </w:rPr>
  </w:style>
  <w:style w:type="paragraph" w:styleId="Title">
    <w:name w:val="Title"/>
    <w:basedOn w:val="Normal"/>
    <w:next w:val="Normal"/>
    <w:link w:val="TitleChar"/>
    <w:uiPriority w:val="10"/>
    <w:qFormat/>
    <w:rsid w:val="00F40A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A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A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0A72"/>
    <w:rPr>
      <w:i/>
      <w:iCs/>
      <w:color w:val="404040" w:themeColor="text1" w:themeTint="BF"/>
    </w:rPr>
  </w:style>
  <w:style w:type="paragraph" w:styleId="ListParagraph">
    <w:name w:val="List Paragraph"/>
    <w:basedOn w:val="Normal"/>
    <w:uiPriority w:val="34"/>
    <w:qFormat/>
    <w:rsid w:val="00F40A72"/>
    <w:pPr>
      <w:ind w:left="720"/>
      <w:contextualSpacing/>
    </w:pPr>
  </w:style>
  <w:style w:type="character" w:styleId="IntenseEmphasis">
    <w:name w:val="Intense Emphasis"/>
    <w:basedOn w:val="DefaultParagraphFont"/>
    <w:uiPriority w:val="21"/>
    <w:qFormat/>
    <w:rsid w:val="00F40A72"/>
    <w:rPr>
      <w:i/>
      <w:iCs/>
      <w:color w:val="0F4761" w:themeColor="accent1" w:themeShade="BF"/>
    </w:rPr>
  </w:style>
  <w:style w:type="paragraph" w:styleId="IntenseQuote">
    <w:name w:val="Intense Quote"/>
    <w:basedOn w:val="Normal"/>
    <w:next w:val="Normal"/>
    <w:link w:val="IntenseQuoteChar"/>
    <w:uiPriority w:val="30"/>
    <w:qFormat/>
    <w:rsid w:val="00F40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A72"/>
    <w:rPr>
      <w:i/>
      <w:iCs/>
      <w:color w:val="0F4761" w:themeColor="accent1" w:themeShade="BF"/>
    </w:rPr>
  </w:style>
  <w:style w:type="character" w:styleId="IntenseReference">
    <w:name w:val="Intense Reference"/>
    <w:basedOn w:val="DefaultParagraphFont"/>
    <w:uiPriority w:val="32"/>
    <w:qFormat/>
    <w:rsid w:val="00F40A72"/>
    <w:rPr>
      <w:b/>
      <w:bCs/>
      <w:smallCaps/>
      <w:color w:val="0F4761" w:themeColor="accent1" w:themeShade="BF"/>
      <w:spacing w:val="5"/>
    </w:rPr>
  </w:style>
  <w:style w:type="table" w:styleId="TableGrid">
    <w:name w:val="Table Grid"/>
    <w:basedOn w:val="TableNormal"/>
    <w:uiPriority w:val="39"/>
    <w:rsid w:val="00F40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160A"/>
    <w:rPr>
      <w:rFonts w:ascii="Arial" w:hAnsi="Arial" w:cs="Arial"/>
      <w:kern w:val="0"/>
      <w14:ligatures w14:val="none"/>
    </w:rPr>
  </w:style>
  <w:style w:type="character" w:styleId="Hyperlink">
    <w:name w:val="Hyperlink"/>
    <w:basedOn w:val="DefaultParagraphFont"/>
    <w:uiPriority w:val="99"/>
    <w:unhideWhenUsed/>
    <w:rsid w:val="00F725D0"/>
    <w:rPr>
      <w:color w:val="467886" w:themeColor="hyperlink"/>
      <w:u w:val="single"/>
    </w:rPr>
  </w:style>
  <w:style w:type="character" w:customStyle="1" w:styleId="UnresolvedMention">
    <w:name w:val="Unresolved Mention"/>
    <w:basedOn w:val="DefaultParagraphFont"/>
    <w:uiPriority w:val="99"/>
    <w:semiHidden/>
    <w:unhideWhenUsed/>
    <w:rsid w:val="00F725D0"/>
    <w:rPr>
      <w:color w:val="605E5C"/>
      <w:shd w:val="clear" w:color="auto" w:fill="E1DFDD"/>
    </w:rPr>
  </w:style>
  <w:style w:type="paragraph" w:styleId="Footer">
    <w:name w:val="footer"/>
    <w:basedOn w:val="Normal"/>
    <w:link w:val="FooterChar"/>
    <w:uiPriority w:val="99"/>
    <w:unhideWhenUsed/>
    <w:rsid w:val="00D7645F"/>
    <w:pPr>
      <w:tabs>
        <w:tab w:val="center" w:pos="4513"/>
        <w:tab w:val="right" w:pos="9026"/>
      </w:tabs>
    </w:pPr>
  </w:style>
  <w:style w:type="character" w:customStyle="1" w:styleId="FooterChar">
    <w:name w:val="Footer Char"/>
    <w:basedOn w:val="DefaultParagraphFont"/>
    <w:link w:val="Footer"/>
    <w:uiPriority w:val="99"/>
    <w:rsid w:val="00D7645F"/>
  </w:style>
  <w:style w:type="character" w:styleId="PageNumber">
    <w:name w:val="page number"/>
    <w:basedOn w:val="DefaultParagraphFont"/>
    <w:uiPriority w:val="99"/>
    <w:semiHidden/>
    <w:unhideWhenUsed/>
    <w:rsid w:val="00D7645F"/>
  </w:style>
  <w:style w:type="character" w:styleId="FollowedHyperlink">
    <w:name w:val="FollowedHyperlink"/>
    <w:basedOn w:val="DefaultParagraphFont"/>
    <w:uiPriority w:val="99"/>
    <w:semiHidden/>
    <w:unhideWhenUsed/>
    <w:rsid w:val="003B2069"/>
    <w:rPr>
      <w:color w:val="96607D" w:themeColor="followedHyperlink"/>
      <w:u w:val="single"/>
    </w:rPr>
  </w:style>
  <w:style w:type="paragraph" w:customStyle="1" w:styleId="p1">
    <w:name w:val="p1"/>
    <w:basedOn w:val="Normal"/>
    <w:rsid w:val="00565136"/>
    <w:rPr>
      <w:rFonts w:ascii=".AppleSystemUIFont" w:eastAsia="Times New Roman" w:hAnsi=".AppleSystemUIFont" w:cs="Times New Roman"/>
      <w:color w:val="0E0E0E"/>
      <w:kern w:val="0"/>
      <w:sz w:val="21"/>
      <w:szCs w:val="21"/>
      <w:lang w:eastAsia="en-GB"/>
      <w14:ligatures w14:val="none"/>
    </w:rPr>
  </w:style>
  <w:style w:type="paragraph" w:customStyle="1" w:styleId="p2">
    <w:name w:val="p2"/>
    <w:basedOn w:val="Normal"/>
    <w:rsid w:val="00146706"/>
    <w:rPr>
      <w:rFonts w:ascii=".AppleSystemUIFont" w:eastAsia="Times New Roman" w:hAnsi=".AppleSystemUIFont" w:cs="Times New Roman"/>
      <w:color w:val="0E0E0E"/>
      <w:kern w:val="0"/>
      <w:sz w:val="21"/>
      <w:szCs w:val="21"/>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2487">
      <w:bodyDiv w:val="1"/>
      <w:marLeft w:val="0"/>
      <w:marRight w:val="0"/>
      <w:marTop w:val="0"/>
      <w:marBottom w:val="0"/>
      <w:divBdr>
        <w:top w:val="none" w:sz="0" w:space="0" w:color="auto"/>
        <w:left w:val="none" w:sz="0" w:space="0" w:color="auto"/>
        <w:bottom w:val="none" w:sz="0" w:space="0" w:color="auto"/>
        <w:right w:val="none" w:sz="0" w:space="0" w:color="auto"/>
      </w:divBdr>
    </w:div>
    <w:div w:id="121303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media/69c294f613101e9908704b90/Academies_accounts_direction_2025_to_2026.pdf"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ssexprimaryheads.co.uk/info-and-documents/mode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uidance/what-academies-free-schools-and-colleges-should-publish-onlin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uidance/-governance-in-academy-trusts/statutory-policies-for-trusts" TargetMode="External"/><Relationship Id="rId5" Type="http://schemas.openxmlformats.org/officeDocument/2006/relationships/webSettings" Target="webSettings.xml"/><Relationship Id="rId15" Type="http://schemas.openxmlformats.org/officeDocument/2006/relationships/hyperlink" Target="https://www.gov.uk/guidance/what-maintained-schools-must-publish-online" TargetMode="External"/><Relationship Id="rId10" Type="http://schemas.openxmlformats.org/officeDocument/2006/relationships/hyperlink" Target="https://www.gov.uk/guidance/governance-in-maintained-schools/statutory-policies-for-maintained-schoo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conflicts-of-interest-a-guide-for-charity-trustees-cc29/conflicts-of-interest-a-guide-for-charity-trustees" TargetMode="External"/><Relationship Id="rId14" Type="http://schemas.openxmlformats.org/officeDocument/2006/relationships/hyperlink" Target="https://www.gov.uk/guidance/consistent-financial-reporting-framework-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Langmead</dc:creator>
  <cp:lastModifiedBy>Bob Fuller</cp:lastModifiedBy>
  <cp:revision>2</cp:revision>
  <cp:lastPrinted>2026-04-15T14:25:00Z</cp:lastPrinted>
  <dcterms:created xsi:type="dcterms:W3CDTF">2026-04-17T09:28:00Z</dcterms:created>
  <dcterms:modified xsi:type="dcterms:W3CDTF">2026-04-17T09:28:00Z</dcterms:modified>
</cp:coreProperties>
</file>