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2068B" w14:textId="01CBC5EB" w:rsidR="00047AE1" w:rsidRDefault="00017744">
      <w:pPr>
        <w:rPr>
          <w:b/>
          <w:bCs/>
          <w:sz w:val="28"/>
          <w:szCs w:val="28"/>
        </w:rPr>
      </w:pPr>
      <w:bookmarkStart w:id="0" w:name="_GoBack"/>
      <w:bookmarkEnd w:id="0"/>
      <w:r w:rsidRPr="00017744">
        <w:rPr>
          <w:b/>
          <w:bCs/>
          <w:noProof/>
          <w:sz w:val="28"/>
          <w:szCs w:val="28"/>
          <w:lang w:eastAsia="en-GB"/>
        </w:rPr>
        <w:drawing>
          <wp:anchor distT="0" distB="0" distL="114300" distR="114300" simplePos="0" relativeHeight="251658240" behindDoc="0" locked="0" layoutInCell="1" allowOverlap="1" wp14:anchorId="017478B5" wp14:editId="5950FF6B">
            <wp:simplePos x="0" y="0"/>
            <wp:positionH relativeFrom="column">
              <wp:posOffset>0</wp:posOffset>
            </wp:positionH>
            <wp:positionV relativeFrom="paragraph">
              <wp:posOffset>-584200</wp:posOffset>
            </wp:positionV>
            <wp:extent cx="2455333" cy="685800"/>
            <wp:effectExtent l="0" t="0" r="0" b="0"/>
            <wp:wrapNone/>
            <wp:docPr id="100642475"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2475" name="Picture 1" descr="A logo with text on 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55333" cy="685800"/>
                    </a:xfrm>
                    <a:prstGeom prst="rect">
                      <a:avLst/>
                    </a:prstGeom>
                  </pic:spPr>
                </pic:pic>
              </a:graphicData>
            </a:graphic>
            <wp14:sizeRelH relativeFrom="page">
              <wp14:pctWidth>0</wp14:pctWidth>
            </wp14:sizeRelH>
            <wp14:sizeRelV relativeFrom="page">
              <wp14:pctHeight>0</wp14:pctHeight>
            </wp14:sizeRelV>
          </wp:anchor>
        </w:drawing>
      </w:r>
    </w:p>
    <w:p w14:paraId="1E485A65" w14:textId="73658072" w:rsidR="00047AE1" w:rsidRDefault="00047AE1">
      <w:pPr>
        <w:rPr>
          <w:b/>
          <w:bCs/>
          <w:sz w:val="28"/>
          <w:szCs w:val="28"/>
        </w:rPr>
      </w:pPr>
    </w:p>
    <w:p w14:paraId="69B8C375" w14:textId="1FF6463F" w:rsidR="003E2EEE" w:rsidRPr="00F725D0" w:rsidRDefault="00F40A72">
      <w:pPr>
        <w:rPr>
          <w:b/>
          <w:bCs/>
          <w:sz w:val="28"/>
          <w:szCs w:val="28"/>
        </w:rPr>
      </w:pPr>
      <w:r w:rsidRPr="00F725D0">
        <w:rPr>
          <w:b/>
          <w:bCs/>
          <w:sz w:val="28"/>
          <w:szCs w:val="28"/>
        </w:rPr>
        <w:t>Model summer term agenda 2024</w:t>
      </w:r>
      <w:r w:rsidR="00047AE1">
        <w:rPr>
          <w:b/>
          <w:bCs/>
          <w:sz w:val="28"/>
          <w:szCs w:val="28"/>
        </w:rPr>
        <w:t xml:space="preserve"> </w:t>
      </w:r>
    </w:p>
    <w:p w14:paraId="0393DF2E" w14:textId="77777777" w:rsidR="00F40A72" w:rsidRDefault="00F40A72"/>
    <w:p w14:paraId="1C7E54B4" w14:textId="723A7DD5" w:rsidR="00F40A72" w:rsidRPr="00F725D0" w:rsidRDefault="00F40A72" w:rsidP="00F40A72">
      <w:pPr>
        <w:rPr>
          <w:i/>
          <w:color w:val="0070C0"/>
          <w:sz w:val="22"/>
          <w:szCs w:val="22"/>
        </w:rPr>
      </w:pPr>
      <w:r w:rsidRPr="00F725D0">
        <w:rPr>
          <w:i/>
          <w:color w:val="0070C0"/>
          <w:sz w:val="22"/>
          <w:szCs w:val="22"/>
        </w:rPr>
        <w:t>Please note that your agenda will vary depending on the structure your governing board adopted. Please amend as appropriate for maintained schools and academies. As a Clerk/Governance Professional you should refer to the Governing Board Year Planner prior to drafting the agenda.</w:t>
      </w:r>
    </w:p>
    <w:p w14:paraId="35F24CF0" w14:textId="77777777" w:rsidR="00F40A72" w:rsidRDefault="00F40A72"/>
    <w:p w14:paraId="47212327" w14:textId="6BFC1AF7" w:rsidR="00F40A72" w:rsidRDefault="00F40A72">
      <w:r>
        <w:t>Name of School:</w:t>
      </w:r>
    </w:p>
    <w:p w14:paraId="32EB11DF" w14:textId="3FDD08F5" w:rsidR="00F40A72" w:rsidRDefault="00F40A72">
      <w:r>
        <w:t>Address:</w:t>
      </w:r>
    </w:p>
    <w:p w14:paraId="235AE422" w14:textId="77777777" w:rsidR="00F40A72" w:rsidRDefault="00F40A72"/>
    <w:p w14:paraId="113F0E1C" w14:textId="5DB388FD" w:rsidR="00F40A72" w:rsidRPr="00020983" w:rsidRDefault="00F40A72">
      <w:pPr>
        <w:rPr>
          <w:b/>
          <w:bCs/>
        </w:rPr>
      </w:pPr>
      <w:r w:rsidRPr="00020983">
        <w:rPr>
          <w:b/>
          <w:bCs/>
        </w:rPr>
        <w:t>Summer term meeting of the Governing Board/Board of Trustees/Local Governing Body agenda</w:t>
      </w:r>
    </w:p>
    <w:p w14:paraId="1A3ADE50" w14:textId="77777777" w:rsidR="00F40A72" w:rsidRDefault="00F40A72"/>
    <w:p w14:paraId="5073F9FB" w14:textId="0F288683" w:rsidR="00F40A72" w:rsidRDefault="00F40A72">
      <w:r>
        <w:t>Date:</w:t>
      </w:r>
    </w:p>
    <w:p w14:paraId="0C934737" w14:textId="3FDB0B1C" w:rsidR="00F40A72" w:rsidRDefault="00F40A72">
      <w:r>
        <w:t>Time:</w:t>
      </w:r>
    </w:p>
    <w:p w14:paraId="0826D7FF" w14:textId="4D2779A7" w:rsidR="00F40A72" w:rsidRDefault="00F40A72">
      <w:r>
        <w:t>Place:</w:t>
      </w:r>
    </w:p>
    <w:p w14:paraId="195E2C68" w14:textId="49CA717B" w:rsidR="00F40A72" w:rsidRDefault="00F40A72">
      <w:r>
        <w:t>Clerk/Governance Professional:</w:t>
      </w:r>
    </w:p>
    <w:p w14:paraId="51C3E25D" w14:textId="77777777" w:rsidR="00F40A72" w:rsidRDefault="00F40A72"/>
    <w:p w14:paraId="5DE33135" w14:textId="6790A822" w:rsidR="00F40A72" w:rsidRPr="00F725D0" w:rsidRDefault="00F40A72">
      <w:pPr>
        <w:rPr>
          <w:i/>
          <w:iCs/>
        </w:rPr>
      </w:pPr>
      <w:r>
        <w:t>Note: Please note that all supporting documents are available to view and download in</w:t>
      </w:r>
      <w:r w:rsidR="00F725D0">
        <w:t>/from</w:t>
      </w:r>
      <w:r>
        <w:t xml:space="preserve"> </w:t>
      </w:r>
      <w:r w:rsidRPr="00F725D0">
        <w:rPr>
          <w:i/>
          <w:iCs/>
        </w:rPr>
        <w:t>(indicate the platform/system you are using)</w:t>
      </w:r>
    </w:p>
    <w:p w14:paraId="4AB51F03" w14:textId="77777777" w:rsidR="00F40A72" w:rsidRDefault="00F40A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F40A72" w14:paraId="6FC1AD10" w14:textId="77777777" w:rsidTr="005A4269">
        <w:tc>
          <w:tcPr>
            <w:tcW w:w="562" w:type="dxa"/>
          </w:tcPr>
          <w:p w14:paraId="1F02407F" w14:textId="5CCC8223" w:rsidR="00F40A72" w:rsidRPr="00F725D0" w:rsidRDefault="00F40A72">
            <w:pPr>
              <w:rPr>
                <w:b/>
                <w:bCs/>
              </w:rPr>
            </w:pPr>
            <w:r w:rsidRPr="00F725D0">
              <w:rPr>
                <w:b/>
                <w:bCs/>
              </w:rPr>
              <w:t>1.</w:t>
            </w:r>
          </w:p>
        </w:tc>
        <w:tc>
          <w:tcPr>
            <w:tcW w:w="8454" w:type="dxa"/>
          </w:tcPr>
          <w:p w14:paraId="1BB28104" w14:textId="77777777" w:rsidR="00F40A72" w:rsidRPr="00F725D0" w:rsidRDefault="00F40A72">
            <w:pPr>
              <w:rPr>
                <w:b/>
                <w:bCs/>
              </w:rPr>
            </w:pPr>
            <w:r w:rsidRPr="00F725D0">
              <w:rPr>
                <w:b/>
                <w:bCs/>
              </w:rPr>
              <w:t>WELCOME, APOLOGIES AND REASONS FOR ABSENCE</w:t>
            </w:r>
          </w:p>
          <w:p w14:paraId="36607E14" w14:textId="77777777" w:rsidR="00F40A72" w:rsidRDefault="00F40A72">
            <w:r>
              <w:t xml:space="preserve">To receive apologies for absence. </w:t>
            </w:r>
          </w:p>
          <w:p w14:paraId="39BDACE5" w14:textId="77777777" w:rsidR="00F40A72" w:rsidRDefault="00F40A72"/>
          <w:p w14:paraId="2F355BAA" w14:textId="4231E10F" w:rsidR="00F40A72" w:rsidRPr="00093798" w:rsidRDefault="00F40A72" w:rsidP="00F40A72">
            <w:pPr>
              <w:rPr>
                <w:sz w:val="20"/>
                <w:szCs w:val="20"/>
              </w:rPr>
            </w:pPr>
            <w:r w:rsidRPr="00093798">
              <w:rPr>
                <w:sz w:val="20"/>
                <w:szCs w:val="20"/>
                <w:u w:val="single"/>
              </w:rPr>
              <w:t>Note:</w:t>
            </w:r>
            <w:r w:rsidRPr="00093798">
              <w:rPr>
                <w:sz w:val="20"/>
                <w:szCs w:val="20"/>
              </w:rPr>
              <w:t xml:space="preserve"> Any governor</w:t>
            </w:r>
            <w:r>
              <w:rPr>
                <w:sz w:val="20"/>
                <w:szCs w:val="20"/>
              </w:rPr>
              <w:t>/trustee</w:t>
            </w:r>
            <w:r w:rsidRPr="00093798">
              <w:rPr>
                <w:sz w:val="20"/>
                <w:szCs w:val="20"/>
              </w:rPr>
              <w:t xml:space="preserve"> who, without the consent of the governing board, fails to attend governing board meetings for a period of six months after their first absence is disqualified from continuing as a governor</w:t>
            </w:r>
            <w:r>
              <w:rPr>
                <w:sz w:val="20"/>
                <w:szCs w:val="20"/>
              </w:rPr>
              <w:t>/trustee.</w:t>
            </w:r>
            <w:r w:rsidRPr="00093798">
              <w:rPr>
                <w:sz w:val="20"/>
                <w:szCs w:val="20"/>
              </w:rPr>
              <w:t xml:space="preserve"> The governing board may decline to accept apologies for absence from a governor</w:t>
            </w:r>
            <w:r>
              <w:rPr>
                <w:sz w:val="20"/>
                <w:szCs w:val="20"/>
              </w:rPr>
              <w:t>/trustee,</w:t>
            </w:r>
            <w:r w:rsidRPr="00093798">
              <w:rPr>
                <w:sz w:val="20"/>
                <w:szCs w:val="20"/>
              </w:rPr>
              <w:t xml:space="preserve"> but if apologies are accepted, then the governing board has consented to the absence, and the six-month disqualification rule does not apply.</w:t>
            </w:r>
            <w:r>
              <w:rPr>
                <w:sz w:val="20"/>
                <w:szCs w:val="20"/>
              </w:rPr>
              <w:t xml:space="preserve"> </w:t>
            </w:r>
            <w:r w:rsidRPr="00093798">
              <w:rPr>
                <w:sz w:val="20"/>
                <w:szCs w:val="20"/>
              </w:rPr>
              <w:t>[Schedule 4 para 9 of The School Governance (Constitution)(England) Regulations 2012 and Article 70 of the Model Articles of Association]</w:t>
            </w:r>
          </w:p>
          <w:p w14:paraId="34710B0C" w14:textId="2EBA8BD4" w:rsidR="00F40A72" w:rsidRDefault="00F40A72"/>
        </w:tc>
      </w:tr>
      <w:tr w:rsidR="00E66231" w14:paraId="4067C861" w14:textId="77777777" w:rsidTr="005A4269">
        <w:tc>
          <w:tcPr>
            <w:tcW w:w="562" w:type="dxa"/>
          </w:tcPr>
          <w:p w14:paraId="54FD8401" w14:textId="6C463688" w:rsidR="00E66231" w:rsidRPr="00F725D0" w:rsidRDefault="00E66231">
            <w:pPr>
              <w:rPr>
                <w:b/>
                <w:bCs/>
              </w:rPr>
            </w:pPr>
            <w:r w:rsidRPr="00F725D0">
              <w:rPr>
                <w:b/>
                <w:bCs/>
              </w:rPr>
              <w:t>2.</w:t>
            </w:r>
          </w:p>
        </w:tc>
        <w:tc>
          <w:tcPr>
            <w:tcW w:w="8454" w:type="dxa"/>
          </w:tcPr>
          <w:p w14:paraId="25DBC4D4" w14:textId="77777777" w:rsidR="00E66231" w:rsidRPr="00F725D0" w:rsidRDefault="00E66231">
            <w:pPr>
              <w:rPr>
                <w:b/>
                <w:bCs/>
              </w:rPr>
            </w:pPr>
            <w:r w:rsidRPr="00F725D0">
              <w:rPr>
                <w:b/>
                <w:bCs/>
              </w:rPr>
              <w:t>NOTIFICATION OF ANY OTHER BUSINESS</w:t>
            </w:r>
          </w:p>
          <w:p w14:paraId="0284EFD9" w14:textId="118656A6" w:rsidR="00E66231" w:rsidRDefault="00E66231">
            <w:r w:rsidRPr="00B53533">
              <w:t>To note late item</w:t>
            </w:r>
            <w:r>
              <w:t>s</w:t>
            </w:r>
            <w:r w:rsidRPr="00B53533">
              <w:t xml:space="preserve"> of business, not on the agenda, which any governor</w:t>
            </w:r>
            <w:r w:rsidR="00F725D0">
              <w:t>/trustee</w:t>
            </w:r>
            <w:r w:rsidRPr="00B53533">
              <w:t xml:space="preserve"> wishes to raise and to decide</w:t>
            </w:r>
            <w:r>
              <w:t>,</w:t>
            </w:r>
            <w:r w:rsidRPr="00B53533">
              <w:t xml:space="preserve"> whether the urgency of the matter is such as to warrant consideration at this meeting.</w:t>
            </w:r>
          </w:p>
          <w:p w14:paraId="1CBE0237" w14:textId="4E6B74FD" w:rsidR="00E66231" w:rsidRDefault="00E66231"/>
        </w:tc>
      </w:tr>
      <w:tr w:rsidR="00E66231" w14:paraId="1759D63B" w14:textId="77777777" w:rsidTr="005A4269">
        <w:tc>
          <w:tcPr>
            <w:tcW w:w="562" w:type="dxa"/>
          </w:tcPr>
          <w:p w14:paraId="12A533CE" w14:textId="79086D2A" w:rsidR="00E66231" w:rsidRPr="00F725D0" w:rsidRDefault="00E66231">
            <w:pPr>
              <w:rPr>
                <w:b/>
                <w:bCs/>
              </w:rPr>
            </w:pPr>
            <w:r w:rsidRPr="00F725D0">
              <w:rPr>
                <w:b/>
                <w:bCs/>
              </w:rPr>
              <w:t>3.</w:t>
            </w:r>
          </w:p>
        </w:tc>
        <w:tc>
          <w:tcPr>
            <w:tcW w:w="8454" w:type="dxa"/>
          </w:tcPr>
          <w:p w14:paraId="3AACDB9B" w14:textId="77777777" w:rsidR="00E66231" w:rsidRPr="00F725D0" w:rsidRDefault="00E66231">
            <w:pPr>
              <w:rPr>
                <w:b/>
                <w:bCs/>
              </w:rPr>
            </w:pPr>
            <w:r w:rsidRPr="00F725D0">
              <w:rPr>
                <w:b/>
                <w:bCs/>
              </w:rPr>
              <w:t>DECLARATIONS OF BUSINESS INTERESTS</w:t>
            </w:r>
          </w:p>
          <w:p w14:paraId="3F66F248" w14:textId="77777777" w:rsidR="00E66231" w:rsidRDefault="00E66231"/>
          <w:p w14:paraId="503C38DF" w14:textId="77777777" w:rsidR="00E66231" w:rsidRDefault="00E66231" w:rsidP="00E66231">
            <w:pPr>
              <w:pStyle w:val="ListParagraph"/>
              <w:numPr>
                <w:ilvl w:val="0"/>
                <w:numId w:val="1"/>
              </w:numPr>
            </w:pPr>
            <w:r>
              <w:t>To note any changes to be made to the Register of Business Interests.</w:t>
            </w:r>
          </w:p>
          <w:p w14:paraId="315EAD90" w14:textId="77777777" w:rsidR="00E66231" w:rsidRDefault="00E66231" w:rsidP="00E66231">
            <w:pPr>
              <w:pStyle w:val="ListParagraph"/>
              <w:numPr>
                <w:ilvl w:val="0"/>
                <w:numId w:val="1"/>
              </w:numPr>
            </w:pPr>
            <w:r>
              <w:t>To receive declarations of interest in relation to any matters to be considered during the meeting.</w:t>
            </w:r>
          </w:p>
          <w:p w14:paraId="18352C08" w14:textId="77777777" w:rsidR="00E66231" w:rsidRPr="00B53533" w:rsidRDefault="00E66231" w:rsidP="00E66231">
            <w:pPr>
              <w:pStyle w:val="ListParagraph"/>
              <w:numPr>
                <w:ilvl w:val="0"/>
                <w:numId w:val="1"/>
              </w:numPr>
            </w:pPr>
            <w:r>
              <w:t>To receive declarations of gifts and hospitality received or given.</w:t>
            </w:r>
          </w:p>
          <w:p w14:paraId="4AE6E3A8" w14:textId="77777777" w:rsidR="00E66231" w:rsidRPr="000A59F1" w:rsidRDefault="00E66231" w:rsidP="00E66231"/>
          <w:p w14:paraId="2B9ADF57" w14:textId="4B5F436C" w:rsidR="00E66231" w:rsidRPr="000A59F1" w:rsidRDefault="00E66231" w:rsidP="00E66231">
            <w:pPr>
              <w:rPr>
                <w:sz w:val="20"/>
                <w:szCs w:val="20"/>
              </w:rPr>
            </w:pPr>
            <w:r w:rsidRPr="000A59F1">
              <w:rPr>
                <w:sz w:val="20"/>
                <w:szCs w:val="20"/>
                <w:u w:val="single"/>
              </w:rPr>
              <w:t>Note:</w:t>
            </w:r>
            <w:r w:rsidRPr="000A59F1">
              <w:rPr>
                <w:sz w:val="20"/>
                <w:szCs w:val="20"/>
              </w:rPr>
              <w:t xml:space="preserve"> </w:t>
            </w:r>
            <w:r>
              <w:rPr>
                <w:sz w:val="20"/>
                <w:szCs w:val="20"/>
              </w:rPr>
              <w:t>Academy trusts should have a policy and register on the acceptance of gifts, hospitality, awards, prizes or other benefits that might compromise their judgement or integrity and should ensure all staff are aware of it. When making gifts, the trust must ensure the value is reasonable, is within its scheme of delegation, the decision is documented, and achieves propriety and regularity in the use of public funds</w:t>
            </w:r>
            <w:r w:rsidR="00CF2676">
              <w:rPr>
                <w:sz w:val="20"/>
                <w:szCs w:val="20"/>
              </w:rPr>
              <w:t xml:space="preserve"> – 5.32 of Academy Trust Handbook</w:t>
            </w:r>
            <w:r w:rsidR="00074919">
              <w:rPr>
                <w:sz w:val="20"/>
                <w:szCs w:val="20"/>
              </w:rPr>
              <w:t xml:space="preserve"> (ATH)</w:t>
            </w:r>
            <w:r w:rsidR="00CF2676">
              <w:rPr>
                <w:sz w:val="20"/>
                <w:szCs w:val="20"/>
              </w:rPr>
              <w:t xml:space="preserve"> 2023.</w:t>
            </w:r>
            <w:r>
              <w:rPr>
                <w:sz w:val="20"/>
                <w:szCs w:val="20"/>
              </w:rPr>
              <w:t xml:space="preserve"> (</w:t>
            </w:r>
            <w:r w:rsidRPr="000A59F1">
              <w:rPr>
                <w:sz w:val="20"/>
                <w:szCs w:val="20"/>
              </w:rPr>
              <w:t xml:space="preserve">Maintained schools should refer to Regulation 16 Schedule 1 of The </w:t>
            </w:r>
            <w:r w:rsidRPr="000A59F1">
              <w:rPr>
                <w:sz w:val="20"/>
                <w:szCs w:val="20"/>
              </w:rPr>
              <w:lastRenderedPageBreak/>
              <w:t>School Governance (Roles, Procedures and Allowances) (England) Regulations 2013.</w:t>
            </w:r>
          </w:p>
          <w:p w14:paraId="66C10E98" w14:textId="6F76DCC7" w:rsidR="00E66231" w:rsidRDefault="00E66231"/>
        </w:tc>
      </w:tr>
      <w:tr w:rsidR="00CF2676" w14:paraId="111670E1" w14:textId="77777777" w:rsidTr="005A4269">
        <w:tc>
          <w:tcPr>
            <w:tcW w:w="562" w:type="dxa"/>
          </w:tcPr>
          <w:p w14:paraId="65700297" w14:textId="6CED9E73" w:rsidR="00CF2676" w:rsidRPr="00F725D0" w:rsidRDefault="00CF2676">
            <w:pPr>
              <w:rPr>
                <w:b/>
                <w:bCs/>
              </w:rPr>
            </w:pPr>
            <w:r w:rsidRPr="00F725D0">
              <w:rPr>
                <w:b/>
                <w:bCs/>
              </w:rPr>
              <w:lastRenderedPageBreak/>
              <w:t>4.</w:t>
            </w:r>
          </w:p>
        </w:tc>
        <w:tc>
          <w:tcPr>
            <w:tcW w:w="8454" w:type="dxa"/>
          </w:tcPr>
          <w:p w14:paraId="1913D015" w14:textId="77777777" w:rsidR="00CF2676" w:rsidRPr="00074919" w:rsidRDefault="00CF2676">
            <w:pPr>
              <w:rPr>
                <w:b/>
                <w:bCs/>
              </w:rPr>
            </w:pPr>
            <w:r w:rsidRPr="00074919">
              <w:rPr>
                <w:b/>
                <w:bCs/>
              </w:rPr>
              <w:t>MINUTES OF THE PREVIOUS MEETING</w:t>
            </w:r>
          </w:p>
          <w:p w14:paraId="155BC4B0" w14:textId="77777777" w:rsidR="00CF2676" w:rsidRDefault="00CF2676">
            <w:r>
              <w:t xml:space="preserve">To confirm the minutes of the meeting held on </w:t>
            </w:r>
            <w:r w:rsidRPr="00074919">
              <w:rPr>
                <w:i/>
                <w:iCs/>
                <w:sz w:val="20"/>
                <w:szCs w:val="20"/>
              </w:rPr>
              <w:t>(date).</w:t>
            </w:r>
          </w:p>
          <w:p w14:paraId="15203ED0" w14:textId="081C1A7B" w:rsidR="00E251E9" w:rsidRDefault="00E251E9"/>
        </w:tc>
      </w:tr>
      <w:tr w:rsidR="00CF2676" w14:paraId="1723043B" w14:textId="77777777" w:rsidTr="005A4269">
        <w:tc>
          <w:tcPr>
            <w:tcW w:w="562" w:type="dxa"/>
          </w:tcPr>
          <w:p w14:paraId="2EF8B2DD" w14:textId="292411F3" w:rsidR="00CF2676" w:rsidRPr="00F725D0" w:rsidRDefault="00CF2676">
            <w:pPr>
              <w:rPr>
                <w:b/>
                <w:bCs/>
              </w:rPr>
            </w:pPr>
            <w:r w:rsidRPr="00F725D0">
              <w:rPr>
                <w:b/>
                <w:bCs/>
              </w:rPr>
              <w:t>5.</w:t>
            </w:r>
          </w:p>
        </w:tc>
        <w:tc>
          <w:tcPr>
            <w:tcW w:w="8454" w:type="dxa"/>
          </w:tcPr>
          <w:p w14:paraId="59441466" w14:textId="77777777" w:rsidR="00CF2676" w:rsidRPr="00074919" w:rsidRDefault="00CF2676">
            <w:pPr>
              <w:rPr>
                <w:b/>
                <w:bCs/>
              </w:rPr>
            </w:pPr>
            <w:r w:rsidRPr="00074919">
              <w:rPr>
                <w:b/>
                <w:bCs/>
              </w:rPr>
              <w:t>MATTERS ARISING</w:t>
            </w:r>
          </w:p>
          <w:p w14:paraId="09C41270" w14:textId="77777777" w:rsidR="00CF2676" w:rsidRDefault="00CF2676">
            <w:r>
              <w:t>To consider matters arising/action points from the minutes of the previous meeting.</w:t>
            </w:r>
          </w:p>
          <w:p w14:paraId="15F29AA2" w14:textId="627E8312" w:rsidR="00E251E9" w:rsidRDefault="00E251E9"/>
        </w:tc>
      </w:tr>
      <w:tr w:rsidR="00CF2676" w14:paraId="496CC175" w14:textId="77777777" w:rsidTr="005A4269">
        <w:tc>
          <w:tcPr>
            <w:tcW w:w="562" w:type="dxa"/>
          </w:tcPr>
          <w:p w14:paraId="13EECD88" w14:textId="6978CEA7" w:rsidR="00CF2676" w:rsidRPr="00F725D0" w:rsidRDefault="00CF2676">
            <w:pPr>
              <w:rPr>
                <w:b/>
                <w:bCs/>
              </w:rPr>
            </w:pPr>
            <w:r w:rsidRPr="00F725D0">
              <w:rPr>
                <w:b/>
                <w:bCs/>
              </w:rPr>
              <w:t>6.</w:t>
            </w:r>
          </w:p>
        </w:tc>
        <w:tc>
          <w:tcPr>
            <w:tcW w:w="8454" w:type="dxa"/>
          </w:tcPr>
          <w:p w14:paraId="229E3324" w14:textId="77777777" w:rsidR="00CF2676" w:rsidRPr="00074919" w:rsidRDefault="00CF2676">
            <w:pPr>
              <w:rPr>
                <w:b/>
                <w:bCs/>
              </w:rPr>
            </w:pPr>
            <w:r w:rsidRPr="00074919">
              <w:rPr>
                <w:b/>
                <w:bCs/>
              </w:rPr>
              <w:t>CHAIR’S ACTION</w:t>
            </w:r>
          </w:p>
          <w:p w14:paraId="796404C2" w14:textId="20AA7176" w:rsidR="00CF2676" w:rsidRDefault="00CF2676" w:rsidP="00CF2676">
            <w:pPr>
              <w:rPr>
                <w:i/>
                <w:sz w:val="20"/>
                <w:szCs w:val="20"/>
              </w:rPr>
            </w:pPr>
            <w:r>
              <w:t>To report any urgent action taken by the Chair (Vice Chair) in accordance with the agreed procedure</w:t>
            </w:r>
            <w:r w:rsidR="00074919">
              <w:t>.</w:t>
            </w:r>
            <w:r>
              <w:t xml:space="preserve"> </w:t>
            </w:r>
            <w:r w:rsidRPr="00A040FC">
              <w:rPr>
                <w:i/>
                <w:sz w:val="20"/>
                <w:szCs w:val="20"/>
              </w:rPr>
              <w:t xml:space="preserve">(only if that function has been formally delegated to the Chair </w:t>
            </w:r>
            <w:r>
              <w:rPr>
                <w:i/>
                <w:sz w:val="20"/>
                <w:szCs w:val="20"/>
              </w:rPr>
              <w:t xml:space="preserve">(Vice Chair) </w:t>
            </w:r>
            <w:r w:rsidRPr="00A040FC">
              <w:rPr>
                <w:i/>
                <w:sz w:val="20"/>
                <w:szCs w:val="20"/>
              </w:rPr>
              <w:t>– academies only)</w:t>
            </w:r>
          </w:p>
          <w:p w14:paraId="638BE8E4" w14:textId="77777777" w:rsidR="00CF2676" w:rsidRDefault="00CF2676"/>
          <w:p w14:paraId="09725B35" w14:textId="77777777" w:rsidR="00CF2676" w:rsidRDefault="00CF2676" w:rsidP="00CF2676">
            <w:pPr>
              <w:rPr>
                <w:i/>
                <w:sz w:val="20"/>
                <w:szCs w:val="20"/>
              </w:rPr>
            </w:pPr>
            <w:r>
              <w:t xml:space="preserve">To report any urgent action taken by the Chair (Vice Chair) in accordance with the provisions of Regulation 8 of the School Governance Regulations 2013. </w:t>
            </w:r>
            <w:r w:rsidRPr="00A040FC">
              <w:rPr>
                <w:i/>
                <w:sz w:val="20"/>
                <w:szCs w:val="20"/>
              </w:rPr>
              <w:t>(maintained schools only)</w:t>
            </w:r>
          </w:p>
          <w:p w14:paraId="4B4FA4A9" w14:textId="0D1771ED" w:rsidR="00CF2676" w:rsidRDefault="00CF2676"/>
        </w:tc>
      </w:tr>
      <w:tr w:rsidR="00CF2676" w14:paraId="5103D5AA" w14:textId="77777777" w:rsidTr="005A4269">
        <w:tc>
          <w:tcPr>
            <w:tcW w:w="562" w:type="dxa"/>
          </w:tcPr>
          <w:p w14:paraId="784D08FC" w14:textId="07179B8E" w:rsidR="00CF2676" w:rsidRPr="00F725D0" w:rsidRDefault="00CF2676">
            <w:pPr>
              <w:rPr>
                <w:b/>
                <w:bCs/>
              </w:rPr>
            </w:pPr>
            <w:r w:rsidRPr="00F725D0">
              <w:rPr>
                <w:b/>
                <w:bCs/>
              </w:rPr>
              <w:t>7.</w:t>
            </w:r>
          </w:p>
        </w:tc>
        <w:tc>
          <w:tcPr>
            <w:tcW w:w="8454" w:type="dxa"/>
          </w:tcPr>
          <w:p w14:paraId="26F4786B" w14:textId="77777777" w:rsidR="00CF2676" w:rsidRPr="00074919" w:rsidRDefault="004D629D">
            <w:pPr>
              <w:rPr>
                <w:b/>
                <w:bCs/>
              </w:rPr>
            </w:pPr>
            <w:r w:rsidRPr="00074919">
              <w:rPr>
                <w:b/>
                <w:bCs/>
              </w:rPr>
              <w:t>MEMBERSHIP MATTERS</w:t>
            </w:r>
          </w:p>
          <w:p w14:paraId="2E64D6D4" w14:textId="77777777" w:rsidR="004D629D" w:rsidRDefault="004D629D">
            <w:r>
              <w:t>To note any resignations/new appointments and re-appointments that have arisen since the last meeting. To discuss arising vacancies where relevant and actions to address these.</w:t>
            </w:r>
          </w:p>
          <w:p w14:paraId="3E5EAC46" w14:textId="54BD17D4" w:rsidR="00E251E9" w:rsidRDefault="00E251E9"/>
        </w:tc>
      </w:tr>
      <w:tr w:rsidR="004D629D" w14:paraId="4206AD63" w14:textId="77777777" w:rsidTr="005A4269">
        <w:tc>
          <w:tcPr>
            <w:tcW w:w="562" w:type="dxa"/>
          </w:tcPr>
          <w:p w14:paraId="08149B4D" w14:textId="6650CDD8" w:rsidR="004D629D" w:rsidRPr="00F725D0" w:rsidRDefault="004D629D">
            <w:pPr>
              <w:rPr>
                <w:b/>
                <w:bCs/>
              </w:rPr>
            </w:pPr>
            <w:r w:rsidRPr="00F725D0">
              <w:rPr>
                <w:b/>
                <w:bCs/>
              </w:rPr>
              <w:t>8.</w:t>
            </w:r>
          </w:p>
        </w:tc>
        <w:tc>
          <w:tcPr>
            <w:tcW w:w="8454" w:type="dxa"/>
          </w:tcPr>
          <w:p w14:paraId="4D4A1DD4" w14:textId="77777777" w:rsidR="004D629D" w:rsidRPr="00074919" w:rsidRDefault="004D629D">
            <w:pPr>
              <w:rPr>
                <w:b/>
                <w:bCs/>
              </w:rPr>
            </w:pPr>
            <w:r w:rsidRPr="00074919">
              <w:rPr>
                <w:b/>
                <w:bCs/>
              </w:rPr>
              <w:t>REPORTS FROM COMMITTEES</w:t>
            </w:r>
          </w:p>
          <w:p w14:paraId="6B0029CD" w14:textId="77777777" w:rsidR="004D629D" w:rsidRDefault="004D629D">
            <w:r>
              <w:t>To consider minutes and actions put forward to the governing board from the following Committee meetings held during the Summer term 2024:</w:t>
            </w:r>
          </w:p>
          <w:p w14:paraId="224357C5" w14:textId="77777777" w:rsidR="004D629D" w:rsidRDefault="002A3214">
            <w:pPr>
              <w:rPr>
                <w:i/>
                <w:iCs/>
                <w:sz w:val="20"/>
                <w:szCs w:val="20"/>
              </w:rPr>
            </w:pPr>
            <w:r w:rsidRPr="002A3214">
              <w:rPr>
                <w:i/>
                <w:iCs/>
                <w:sz w:val="20"/>
                <w:szCs w:val="20"/>
              </w:rPr>
              <w:t>(list your Committees)</w:t>
            </w:r>
          </w:p>
          <w:p w14:paraId="19969CB6" w14:textId="228FA656" w:rsidR="00E251E9" w:rsidRPr="002A3214" w:rsidRDefault="00E251E9">
            <w:pPr>
              <w:rPr>
                <w:i/>
                <w:iCs/>
                <w:sz w:val="20"/>
                <w:szCs w:val="20"/>
              </w:rPr>
            </w:pPr>
          </w:p>
        </w:tc>
      </w:tr>
      <w:tr w:rsidR="002A3214" w14:paraId="1C2D87F0" w14:textId="77777777" w:rsidTr="005A4269">
        <w:tc>
          <w:tcPr>
            <w:tcW w:w="562" w:type="dxa"/>
          </w:tcPr>
          <w:p w14:paraId="6FA20D7B" w14:textId="2ED27A62" w:rsidR="002A3214" w:rsidRPr="00F725D0" w:rsidRDefault="002A3214">
            <w:pPr>
              <w:rPr>
                <w:b/>
                <w:bCs/>
              </w:rPr>
            </w:pPr>
            <w:r w:rsidRPr="00F725D0">
              <w:rPr>
                <w:b/>
                <w:bCs/>
              </w:rPr>
              <w:t>9.</w:t>
            </w:r>
          </w:p>
        </w:tc>
        <w:tc>
          <w:tcPr>
            <w:tcW w:w="8454" w:type="dxa"/>
          </w:tcPr>
          <w:p w14:paraId="015EB79D" w14:textId="77777777" w:rsidR="002A3214" w:rsidRPr="00074919" w:rsidRDefault="002A3214">
            <w:pPr>
              <w:rPr>
                <w:b/>
                <w:bCs/>
              </w:rPr>
            </w:pPr>
            <w:r w:rsidRPr="00074919">
              <w:rPr>
                <w:b/>
                <w:bCs/>
              </w:rPr>
              <w:t>HEADTEACHER’S REPORT</w:t>
            </w:r>
          </w:p>
          <w:p w14:paraId="26687404" w14:textId="77777777" w:rsidR="002A3214" w:rsidRDefault="002A3214">
            <w:r>
              <w:t xml:space="preserve">To receive the Headteacher’s report. </w:t>
            </w:r>
          </w:p>
          <w:p w14:paraId="3D5B24F3" w14:textId="77777777" w:rsidR="002A3214" w:rsidRDefault="002A3214"/>
          <w:p w14:paraId="4568767F" w14:textId="77777777" w:rsidR="002A3214" w:rsidRDefault="002A3214">
            <w:pPr>
              <w:rPr>
                <w:sz w:val="20"/>
                <w:szCs w:val="20"/>
              </w:rPr>
            </w:pPr>
            <w:r w:rsidRPr="008A07F1">
              <w:rPr>
                <w:sz w:val="20"/>
                <w:szCs w:val="20"/>
                <w:u w:val="single"/>
              </w:rPr>
              <w:t>Note:</w:t>
            </w:r>
            <w:r w:rsidRPr="008A07F1">
              <w:rPr>
                <w:sz w:val="20"/>
                <w:szCs w:val="20"/>
              </w:rPr>
              <w:t xml:space="preserve"> The Headteacher/Executive leader needs to provide the governing board with the information it needs to do its job well. The information should be an overview to generate discussion. The report should be made avai</w:t>
            </w:r>
            <w:r w:rsidR="008A07F1" w:rsidRPr="008A07F1">
              <w:rPr>
                <w:sz w:val="20"/>
                <w:szCs w:val="20"/>
              </w:rPr>
              <w:t>la</w:t>
            </w:r>
            <w:r w:rsidRPr="008A07F1">
              <w:rPr>
                <w:sz w:val="20"/>
                <w:szCs w:val="20"/>
              </w:rPr>
              <w:t xml:space="preserve">ble to </w:t>
            </w:r>
            <w:r w:rsidR="008A07F1" w:rsidRPr="008A07F1">
              <w:rPr>
                <w:sz w:val="20"/>
                <w:szCs w:val="20"/>
              </w:rPr>
              <w:t>anyone who asks for it (Regulation 15 of the School Governance (Roles, Procedures and Allowances) (England) Regulations 2013 and Article 124 of the Model Articles of Association)</w:t>
            </w:r>
          </w:p>
          <w:p w14:paraId="36EC23FE" w14:textId="5D7654B3" w:rsidR="00E251E9" w:rsidRPr="008A07F1" w:rsidRDefault="00E251E9">
            <w:pPr>
              <w:rPr>
                <w:sz w:val="20"/>
                <w:szCs w:val="20"/>
              </w:rPr>
            </w:pPr>
          </w:p>
        </w:tc>
      </w:tr>
      <w:tr w:rsidR="008A07F1" w14:paraId="09AFC343" w14:textId="77777777" w:rsidTr="005A4269">
        <w:tc>
          <w:tcPr>
            <w:tcW w:w="562" w:type="dxa"/>
          </w:tcPr>
          <w:p w14:paraId="52C14902" w14:textId="66868377" w:rsidR="008A07F1" w:rsidRPr="00F725D0" w:rsidRDefault="008A07F1">
            <w:pPr>
              <w:rPr>
                <w:b/>
                <w:bCs/>
              </w:rPr>
            </w:pPr>
            <w:r w:rsidRPr="00F725D0">
              <w:rPr>
                <w:b/>
                <w:bCs/>
              </w:rPr>
              <w:t>10.</w:t>
            </w:r>
          </w:p>
        </w:tc>
        <w:tc>
          <w:tcPr>
            <w:tcW w:w="8454" w:type="dxa"/>
          </w:tcPr>
          <w:p w14:paraId="35D516BA" w14:textId="5F4A99DA" w:rsidR="008A07F1" w:rsidRPr="00074919" w:rsidRDefault="008A07F1">
            <w:pPr>
              <w:rPr>
                <w:i/>
                <w:iCs/>
                <w:sz w:val="20"/>
                <w:szCs w:val="20"/>
              </w:rPr>
            </w:pPr>
            <w:r w:rsidRPr="00074919">
              <w:rPr>
                <w:b/>
                <w:bCs/>
              </w:rPr>
              <w:t>BUDGET</w:t>
            </w:r>
            <w:r w:rsidR="00074919">
              <w:rPr>
                <w:b/>
                <w:bCs/>
              </w:rPr>
              <w:t xml:space="preserve"> </w:t>
            </w:r>
            <w:r w:rsidR="00074919">
              <w:rPr>
                <w:i/>
                <w:iCs/>
                <w:sz w:val="20"/>
                <w:szCs w:val="20"/>
              </w:rPr>
              <w:t>(academies only)</w:t>
            </w:r>
          </w:p>
          <w:p w14:paraId="16D1C8EE" w14:textId="77777777" w:rsidR="008A07F1" w:rsidRDefault="008A07F1">
            <w:r>
              <w:t xml:space="preserve">To approve a balanced budget for 2024/25 and the Academies budget forecast return (BFR) for submission to ESFA. </w:t>
            </w:r>
          </w:p>
          <w:p w14:paraId="30EDEBD2" w14:textId="77777777" w:rsidR="008A07F1" w:rsidRDefault="008A07F1"/>
          <w:p w14:paraId="2A090184" w14:textId="4FFF996F" w:rsidR="008A07F1" w:rsidRDefault="008A07F1">
            <w:pPr>
              <w:rPr>
                <w:sz w:val="20"/>
                <w:szCs w:val="20"/>
              </w:rPr>
            </w:pPr>
            <w:r w:rsidRPr="00794324">
              <w:rPr>
                <w:sz w:val="20"/>
                <w:szCs w:val="20"/>
                <w:u w:val="single"/>
              </w:rPr>
              <w:t>Note:</w:t>
            </w:r>
            <w:r w:rsidRPr="00794324">
              <w:rPr>
                <w:sz w:val="20"/>
                <w:szCs w:val="20"/>
              </w:rPr>
              <w:t xml:space="preserve"> Governing board must approve and minute their approval of a balance budget – 2.10 ATH</w:t>
            </w:r>
            <w:r w:rsidR="00794324" w:rsidRPr="00794324">
              <w:rPr>
                <w:sz w:val="20"/>
                <w:szCs w:val="20"/>
              </w:rPr>
              <w:t xml:space="preserve"> 2023</w:t>
            </w:r>
            <w:r w:rsidRPr="00794324">
              <w:rPr>
                <w:sz w:val="20"/>
                <w:szCs w:val="20"/>
              </w:rPr>
              <w:t xml:space="preserve"> and </w:t>
            </w:r>
            <w:r w:rsidR="00794324" w:rsidRPr="00794324">
              <w:rPr>
                <w:sz w:val="20"/>
                <w:szCs w:val="20"/>
              </w:rPr>
              <w:t xml:space="preserve">must submit to ESFA an Academies budget forecast return (BFR) by the end of August – 2.15 AHT 2023, and this must be approved by trustees before submission – 2.16 AHT 2023. </w:t>
            </w:r>
            <w:r w:rsidR="00CC6DA9">
              <w:rPr>
                <w:sz w:val="20"/>
                <w:szCs w:val="20"/>
              </w:rPr>
              <w:t>Refer to your Funding Agreement and/or Scheme of Delegation if clerking Local Governing Body.</w:t>
            </w:r>
          </w:p>
          <w:p w14:paraId="3039ABC5" w14:textId="77777777" w:rsidR="009607EC" w:rsidRDefault="009607EC">
            <w:pPr>
              <w:rPr>
                <w:sz w:val="20"/>
                <w:szCs w:val="20"/>
              </w:rPr>
            </w:pPr>
          </w:p>
          <w:p w14:paraId="46470E4D" w14:textId="77777777" w:rsidR="009607EC" w:rsidRDefault="009607EC">
            <w:pPr>
              <w:rPr>
                <w:sz w:val="20"/>
                <w:szCs w:val="20"/>
              </w:rPr>
            </w:pPr>
          </w:p>
          <w:p w14:paraId="5C1AC2CB" w14:textId="15801CA5" w:rsidR="009607EC" w:rsidRPr="00794324" w:rsidRDefault="009607EC">
            <w:pPr>
              <w:rPr>
                <w:sz w:val="20"/>
                <w:szCs w:val="20"/>
              </w:rPr>
            </w:pPr>
          </w:p>
        </w:tc>
      </w:tr>
      <w:tr w:rsidR="00E251E9" w14:paraId="5A9FB37F" w14:textId="77777777" w:rsidTr="005A4269">
        <w:tc>
          <w:tcPr>
            <w:tcW w:w="562" w:type="dxa"/>
          </w:tcPr>
          <w:p w14:paraId="50FD7F70" w14:textId="6DDF5910" w:rsidR="00E251E9" w:rsidRPr="00F725D0" w:rsidRDefault="00E251E9">
            <w:pPr>
              <w:rPr>
                <w:b/>
                <w:bCs/>
              </w:rPr>
            </w:pPr>
            <w:r w:rsidRPr="00F725D0">
              <w:rPr>
                <w:b/>
                <w:bCs/>
              </w:rPr>
              <w:t>11.</w:t>
            </w:r>
          </w:p>
        </w:tc>
        <w:tc>
          <w:tcPr>
            <w:tcW w:w="8454" w:type="dxa"/>
          </w:tcPr>
          <w:p w14:paraId="70F676C5" w14:textId="77777777" w:rsidR="00E251E9" w:rsidRPr="00074919" w:rsidRDefault="00E251E9">
            <w:pPr>
              <w:rPr>
                <w:b/>
                <w:bCs/>
              </w:rPr>
            </w:pPr>
            <w:r w:rsidRPr="00074919">
              <w:rPr>
                <w:b/>
                <w:bCs/>
              </w:rPr>
              <w:t>SCHOOL STRATEGY</w:t>
            </w:r>
          </w:p>
          <w:p w14:paraId="7A6894EF" w14:textId="77777777" w:rsidR="00E251E9" w:rsidRDefault="00E251E9"/>
          <w:p w14:paraId="2CB21C3F" w14:textId="77777777" w:rsidR="00E251E9" w:rsidRDefault="00E251E9" w:rsidP="00E251E9">
            <w:pPr>
              <w:pStyle w:val="ListParagraph"/>
              <w:numPr>
                <w:ilvl w:val="0"/>
                <w:numId w:val="2"/>
              </w:numPr>
            </w:pPr>
            <w:r>
              <w:t>To review progress against the school/academy trust strategic aims over the past year</w:t>
            </w:r>
          </w:p>
          <w:p w14:paraId="694C041B" w14:textId="77777777" w:rsidR="00E251E9" w:rsidRDefault="00E251E9" w:rsidP="00E251E9">
            <w:pPr>
              <w:pStyle w:val="ListParagraph"/>
              <w:numPr>
                <w:ilvl w:val="0"/>
                <w:numId w:val="2"/>
              </w:numPr>
            </w:pPr>
            <w:r>
              <w:lastRenderedPageBreak/>
              <w:t>To review and evaluate impact of the School Development Plan (SDP) 2023/24</w:t>
            </w:r>
          </w:p>
          <w:p w14:paraId="195A0A8F" w14:textId="77777777" w:rsidR="00E251E9" w:rsidRDefault="00E251E9" w:rsidP="00E251E9">
            <w:pPr>
              <w:pStyle w:val="ListParagraph"/>
              <w:numPr>
                <w:ilvl w:val="0"/>
                <w:numId w:val="2"/>
              </w:numPr>
            </w:pPr>
            <w:r>
              <w:t>To approve SDP for 2024/25</w:t>
            </w:r>
          </w:p>
          <w:p w14:paraId="4C5974BD" w14:textId="77777777" w:rsidR="00E251E9" w:rsidRDefault="00E251E9" w:rsidP="00E251E9"/>
          <w:p w14:paraId="4C26AB8A" w14:textId="77777777" w:rsidR="00E251E9" w:rsidRDefault="00E251E9" w:rsidP="00E251E9">
            <w:pPr>
              <w:rPr>
                <w:sz w:val="20"/>
                <w:szCs w:val="20"/>
              </w:rPr>
            </w:pPr>
            <w:r w:rsidRPr="00E251E9">
              <w:rPr>
                <w:sz w:val="20"/>
                <w:szCs w:val="20"/>
                <w:u w:val="single"/>
              </w:rPr>
              <w:t>Note:</w:t>
            </w:r>
            <w:r w:rsidRPr="00E251E9">
              <w:rPr>
                <w:sz w:val="20"/>
                <w:szCs w:val="20"/>
              </w:rPr>
              <w:t xml:space="preserve"> If you are setting new strategic aims/plan you might consider organising strategic away days for both senior leaders and governors/trustees. </w:t>
            </w:r>
          </w:p>
          <w:p w14:paraId="280ECB73" w14:textId="3ACD3CBF" w:rsidR="00074919" w:rsidRPr="00E251E9" w:rsidRDefault="00074919" w:rsidP="00E251E9">
            <w:pPr>
              <w:rPr>
                <w:sz w:val="20"/>
                <w:szCs w:val="20"/>
              </w:rPr>
            </w:pPr>
          </w:p>
        </w:tc>
      </w:tr>
      <w:tr w:rsidR="00E251E9" w14:paraId="46BFED6B" w14:textId="77777777" w:rsidTr="005A4269">
        <w:tc>
          <w:tcPr>
            <w:tcW w:w="562" w:type="dxa"/>
          </w:tcPr>
          <w:p w14:paraId="7A429BCD" w14:textId="445168A4" w:rsidR="00E251E9" w:rsidRPr="00F725D0" w:rsidRDefault="00E251E9">
            <w:pPr>
              <w:rPr>
                <w:b/>
                <w:bCs/>
              </w:rPr>
            </w:pPr>
            <w:r w:rsidRPr="00F725D0">
              <w:rPr>
                <w:b/>
                <w:bCs/>
              </w:rPr>
              <w:lastRenderedPageBreak/>
              <w:t>12.</w:t>
            </w:r>
          </w:p>
        </w:tc>
        <w:tc>
          <w:tcPr>
            <w:tcW w:w="8454" w:type="dxa"/>
          </w:tcPr>
          <w:p w14:paraId="7FA3CCEC" w14:textId="77777777" w:rsidR="00E251E9" w:rsidRPr="00074919" w:rsidRDefault="0014160A">
            <w:pPr>
              <w:rPr>
                <w:b/>
                <w:bCs/>
              </w:rPr>
            </w:pPr>
            <w:r w:rsidRPr="00074919">
              <w:rPr>
                <w:b/>
                <w:bCs/>
              </w:rPr>
              <w:t>SAFEGUARDING REPORT</w:t>
            </w:r>
          </w:p>
          <w:p w14:paraId="22422CA6" w14:textId="77777777" w:rsidR="0014160A" w:rsidRDefault="0014160A">
            <w:r>
              <w:t>To receive an annual Safeguarding Report.</w:t>
            </w:r>
          </w:p>
          <w:p w14:paraId="2224A589" w14:textId="77777777" w:rsidR="0014160A" w:rsidRDefault="0014160A"/>
          <w:p w14:paraId="650C5BE3" w14:textId="09964652" w:rsidR="0014160A" w:rsidRDefault="0014160A">
            <w:pPr>
              <w:rPr>
                <w:sz w:val="20"/>
                <w:szCs w:val="20"/>
              </w:rPr>
            </w:pPr>
            <w:r w:rsidRPr="0043643B">
              <w:rPr>
                <w:sz w:val="20"/>
                <w:szCs w:val="20"/>
                <w:u w:val="single"/>
              </w:rPr>
              <w:t>Note:</w:t>
            </w:r>
            <w:r w:rsidRPr="0043643B">
              <w:rPr>
                <w:sz w:val="20"/>
                <w:szCs w:val="20"/>
              </w:rPr>
              <w:t xml:space="preserve"> </w:t>
            </w:r>
            <w:r w:rsidR="00CC6DA9">
              <w:rPr>
                <w:sz w:val="20"/>
                <w:szCs w:val="20"/>
              </w:rPr>
              <w:t xml:space="preserve">The Headteacher or designated safeguarding lead (DSL) is usually responsible for creating the report. Regular reports allow the governing board to carry out up-to-date oversight of the safeguarding within the school. Even though there is no requirement, it is best practice for governing board to receive an annual safeguarding report and for relevant committees and Safeguarding LINK to receive termly reports to scrutinise the school’s procedure in more detail and report back to the governing board.  </w:t>
            </w:r>
            <w:r w:rsidRPr="0043643B">
              <w:rPr>
                <w:sz w:val="20"/>
                <w:szCs w:val="20"/>
              </w:rPr>
              <w:t>You could add the Safeguarding LINK report here.</w:t>
            </w:r>
          </w:p>
          <w:p w14:paraId="36A79D7D" w14:textId="77777777" w:rsidR="000821E8" w:rsidRDefault="000821E8">
            <w:pPr>
              <w:rPr>
                <w:sz w:val="20"/>
                <w:szCs w:val="20"/>
              </w:rPr>
            </w:pPr>
          </w:p>
          <w:p w14:paraId="6D0C1EA4" w14:textId="567C5715" w:rsidR="000821E8" w:rsidRDefault="000821E8">
            <w:pPr>
              <w:rPr>
                <w:sz w:val="20"/>
                <w:szCs w:val="20"/>
              </w:rPr>
            </w:pPr>
            <w:r>
              <w:rPr>
                <w:sz w:val="20"/>
                <w:szCs w:val="20"/>
              </w:rPr>
              <w:t xml:space="preserve">Under local safeguarding arrangements, education settings are required to submit an audit to the Essex Safeguarding Children Board (ESCB) every 2 years. All education settings will be required to submit a safeguarding audit in the 2025 to 2026 academic year. </w:t>
            </w:r>
          </w:p>
          <w:p w14:paraId="68600580" w14:textId="5848E700" w:rsidR="0043643B" w:rsidRPr="0043643B" w:rsidRDefault="0043643B">
            <w:pPr>
              <w:rPr>
                <w:sz w:val="20"/>
                <w:szCs w:val="20"/>
              </w:rPr>
            </w:pPr>
          </w:p>
        </w:tc>
      </w:tr>
      <w:tr w:rsidR="0014160A" w14:paraId="0C7B4213" w14:textId="77777777" w:rsidTr="005A4269">
        <w:tc>
          <w:tcPr>
            <w:tcW w:w="562" w:type="dxa"/>
          </w:tcPr>
          <w:p w14:paraId="7CB238C5" w14:textId="0F895037" w:rsidR="0014160A" w:rsidRPr="00F725D0" w:rsidRDefault="0014160A">
            <w:pPr>
              <w:rPr>
                <w:b/>
                <w:bCs/>
              </w:rPr>
            </w:pPr>
            <w:r w:rsidRPr="00F725D0">
              <w:rPr>
                <w:b/>
                <w:bCs/>
              </w:rPr>
              <w:t>13.</w:t>
            </w:r>
          </w:p>
        </w:tc>
        <w:tc>
          <w:tcPr>
            <w:tcW w:w="8454" w:type="dxa"/>
          </w:tcPr>
          <w:p w14:paraId="6FA113A9" w14:textId="001B262C" w:rsidR="0014160A" w:rsidRPr="00074919" w:rsidRDefault="0014160A">
            <w:pPr>
              <w:rPr>
                <w:b/>
                <w:bCs/>
              </w:rPr>
            </w:pPr>
            <w:r w:rsidRPr="00074919">
              <w:rPr>
                <w:b/>
                <w:bCs/>
              </w:rPr>
              <w:t>SEND REPORT</w:t>
            </w:r>
          </w:p>
          <w:p w14:paraId="3C18F182" w14:textId="77777777" w:rsidR="0014160A" w:rsidRDefault="0014160A">
            <w:r>
              <w:t xml:space="preserve">To receive the annual SEND Report and approve the SEN Information report. </w:t>
            </w:r>
          </w:p>
          <w:p w14:paraId="2A226108" w14:textId="77777777" w:rsidR="0014160A" w:rsidRPr="000821E8" w:rsidRDefault="0014160A"/>
          <w:p w14:paraId="1E342C63" w14:textId="77777777" w:rsidR="0014160A" w:rsidRPr="000821E8" w:rsidRDefault="0014160A" w:rsidP="0014160A">
            <w:pPr>
              <w:pStyle w:val="NoSpacing"/>
              <w:rPr>
                <w:rFonts w:asciiTheme="minorHAnsi" w:hAnsiTheme="minorHAnsi"/>
                <w:sz w:val="20"/>
                <w:szCs w:val="20"/>
              </w:rPr>
            </w:pPr>
            <w:r w:rsidRPr="000821E8">
              <w:rPr>
                <w:rFonts w:asciiTheme="minorHAnsi" w:hAnsiTheme="minorHAnsi"/>
                <w:sz w:val="20"/>
                <w:szCs w:val="20"/>
                <w:u w:val="single"/>
              </w:rPr>
              <w:t>Note:</w:t>
            </w:r>
            <w:r w:rsidRPr="000821E8">
              <w:rPr>
                <w:rFonts w:asciiTheme="minorHAnsi" w:hAnsiTheme="minorHAnsi"/>
                <w:sz w:val="20"/>
                <w:szCs w:val="20"/>
              </w:rPr>
              <w:t xml:space="preserve"> Section 69 of the Children and Families Act 2014 placed a statutory duty on the governing boards of maintained schools and maintained nursery schools in England, and the proprietors of academy schools, to prepare a report containing SEN information.</w:t>
            </w:r>
          </w:p>
          <w:p w14:paraId="5BC0733B" w14:textId="0D7AC67C" w:rsidR="0014160A" w:rsidRPr="000821E8" w:rsidRDefault="0014160A" w:rsidP="0014160A">
            <w:pPr>
              <w:pStyle w:val="NoSpacing"/>
              <w:rPr>
                <w:rFonts w:asciiTheme="minorHAnsi" w:hAnsiTheme="minorHAnsi"/>
                <w:sz w:val="20"/>
                <w:szCs w:val="20"/>
              </w:rPr>
            </w:pPr>
            <w:r w:rsidRPr="000821E8">
              <w:rPr>
                <w:rFonts w:asciiTheme="minorHAnsi" w:hAnsiTheme="minorHAnsi"/>
                <w:sz w:val="20"/>
                <w:szCs w:val="20"/>
              </w:rPr>
              <w:t xml:space="preserve">The legal obligation to publish the SEN Information Report (the Report) on the website, can be found in the SEN Code of Practice. This provides that the governing boards of maintained schools and maintained nursery schools, and the proprietors of academy schools, must publish information on their websites about the implementation of the governing board’s or the proprietor’s policy for pupils with SEN. You could add the SEND LINK report here. </w:t>
            </w:r>
          </w:p>
          <w:p w14:paraId="5C38DCCB" w14:textId="5A4F4811" w:rsidR="00074919" w:rsidRPr="0014160A" w:rsidRDefault="00074919" w:rsidP="0014160A">
            <w:pPr>
              <w:pStyle w:val="NoSpacing"/>
              <w:rPr>
                <w:sz w:val="20"/>
                <w:szCs w:val="20"/>
              </w:rPr>
            </w:pPr>
          </w:p>
        </w:tc>
      </w:tr>
      <w:tr w:rsidR="0043643B" w14:paraId="20E75A79" w14:textId="77777777" w:rsidTr="005A4269">
        <w:tc>
          <w:tcPr>
            <w:tcW w:w="562" w:type="dxa"/>
          </w:tcPr>
          <w:p w14:paraId="15AF253D" w14:textId="45FAC7FA" w:rsidR="0043643B" w:rsidRPr="00F725D0" w:rsidRDefault="0043643B">
            <w:pPr>
              <w:rPr>
                <w:b/>
                <w:bCs/>
              </w:rPr>
            </w:pPr>
            <w:r w:rsidRPr="00F725D0">
              <w:rPr>
                <w:b/>
                <w:bCs/>
              </w:rPr>
              <w:t>14.</w:t>
            </w:r>
          </w:p>
        </w:tc>
        <w:tc>
          <w:tcPr>
            <w:tcW w:w="8454" w:type="dxa"/>
          </w:tcPr>
          <w:p w14:paraId="7B4FDD36" w14:textId="77777777" w:rsidR="0043643B" w:rsidRPr="00074919" w:rsidRDefault="0043643B" w:rsidP="0043643B">
            <w:pPr>
              <w:rPr>
                <w:b/>
                <w:bCs/>
              </w:rPr>
            </w:pPr>
            <w:r w:rsidRPr="00074919">
              <w:rPr>
                <w:b/>
                <w:bCs/>
              </w:rPr>
              <w:t>DATA PROTECTION</w:t>
            </w:r>
          </w:p>
          <w:p w14:paraId="5500FC1C" w14:textId="7D92835F" w:rsidR="007C1F29" w:rsidRDefault="007C1F29" w:rsidP="007C1F29">
            <w:r w:rsidRPr="00C666A9">
              <w:t>To</w:t>
            </w:r>
            <w:r>
              <w:t xml:space="preserve"> receive Data Protection Report and </w:t>
            </w:r>
            <w:r w:rsidR="000821E8">
              <w:t>(re-)</w:t>
            </w:r>
            <w:r>
              <w:t>appoint Data Protection Officer.</w:t>
            </w:r>
          </w:p>
          <w:p w14:paraId="6B816C53" w14:textId="77777777" w:rsidR="000821E8" w:rsidRDefault="000821E8" w:rsidP="007C1F29"/>
          <w:p w14:paraId="42663B69" w14:textId="42CDB969" w:rsidR="000821E8" w:rsidRPr="000821E8" w:rsidRDefault="000821E8" w:rsidP="007C1F29">
            <w:pPr>
              <w:rPr>
                <w:sz w:val="20"/>
                <w:szCs w:val="20"/>
              </w:rPr>
            </w:pPr>
            <w:r w:rsidRPr="000821E8">
              <w:rPr>
                <w:sz w:val="20"/>
                <w:szCs w:val="20"/>
                <w:u w:val="single"/>
              </w:rPr>
              <w:t>Note:</w:t>
            </w:r>
            <w:r w:rsidRPr="000821E8">
              <w:rPr>
                <w:sz w:val="20"/>
                <w:szCs w:val="20"/>
              </w:rPr>
              <w:t xml:space="preserve"> GDPR doesn’t say how often governing boards should receive reports on school’s compliance with the UK GDPR. Best practice suggests annually, and any additional updates being provided whenever there is a data breach or other important development(s). </w:t>
            </w:r>
          </w:p>
          <w:p w14:paraId="7B344FD3" w14:textId="1C04D6DB" w:rsidR="0043643B" w:rsidRDefault="0043643B" w:rsidP="0043643B"/>
        </w:tc>
      </w:tr>
      <w:tr w:rsidR="0014160A" w14:paraId="3786E0D8" w14:textId="77777777" w:rsidTr="005A4269">
        <w:tc>
          <w:tcPr>
            <w:tcW w:w="562" w:type="dxa"/>
          </w:tcPr>
          <w:p w14:paraId="6AC7536D" w14:textId="1DE0A7D7" w:rsidR="0014160A" w:rsidRPr="00F725D0" w:rsidRDefault="0014160A">
            <w:pPr>
              <w:rPr>
                <w:b/>
                <w:bCs/>
              </w:rPr>
            </w:pPr>
            <w:r w:rsidRPr="00F725D0">
              <w:rPr>
                <w:b/>
                <w:bCs/>
              </w:rPr>
              <w:t>1</w:t>
            </w:r>
            <w:r w:rsidR="0043643B" w:rsidRPr="00F725D0">
              <w:rPr>
                <w:b/>
                <w:bCs/>
              </w:rPr>
              <w:t>5.</w:t>
            </w:r>
          </w:p>
        </w:tc>
        <w:tc>
          <w:tcPr>
            <w:tcW w:w="8454" w:type="dxa"/>
          </w:tcPr>
          <w:p w14:paraId="0FE06368" w14:textId="77777777" w:rsidR="0043643B" w:rsidRPr="00074919" w:rsidRDefault="0043643B" w:rsidP="0043643B">
            <w:pPr>
              <w:rPr>
                <w:b/>
                <w:bCs/>
              </w:rPr>
            </w:pPr>
            <w:r w:rsidRPr="00074919">
              <w:rPr>
                <w:b/>
                <w:bCs/>
              </w:rPr>
              <w:t>POLICY REVIEW</w:t>
            </w:r>
          </w:p>
          <w:p w14:paraId="289955DA" w14:textId="4D1F8C5E" w:rsidR="0043643B" w:rsidRDefault="0043643B" w:rsidP="0043643B">
            <w:r>
              <w:t xml:space="preserve">To review and adopt the following policies for use in the School. </w:t>
            </w:r>
          </w:p>
          <w:p w14:paraId="1D7F431F" w14:textId="77777777" w:rsidR="0043643B" w:rsidRDefault="0043643B" w:rsidP="0043643B"/>
          <w:p w14:paraId="363EB535" w14:textId="653CEDBD" w:rsidR="0043643B" w:rsidRPr="00074919" w:rsidRDefault="0043643B" w:rsidP="0043643B">
            <w:pPr>
              <w:rPr>
                <w:bCs/>
                <w:sz w:val="20"/>
                <w:szCs w:val="20"/>
              </w:rPr>
            </w:pPr>
            <w:r w:rsidRPr="00074919">
              <w:rPr>
                <w:bCs/>
                <w:sz w:val="20"/>
                <w:szCs w:val="20"/>
                <w:u w:val="single"/>
              </w:rPr>
              <w:t>Note:</w:t>
            </w:r>
            <w:r w:rsidRPr="00074919">
              <w:rPr>
                <w:bCs/>
                <w:sz w:val="20"/>
                <w:szCs w:val="20"/>
              </w:rPr>
              <w:t xml:space="preserve"> The drafting of the school policies can be delegated to any member of school staff; there is no requirement for all policies to be reviewed annually and not all policies need to be signed off by the governing board. LGBs would mostly be adopting or monitoring policies agreed by the board of trustees however please check your Scheme of Delegation.</w:t>
            </w:r>
          </w:p>
          <w:p w14:paraId="7BD86425" w14:textId="16E71FB2" w:rsidR="0043643B" w:rsidRDefault="0043643B" w:rsidP="0043643B"/>
        </w:tc>
      </w:tr>
      <w:tr w:rsidR="0043643B" w14:paraId="2349C01F" w14:textId="77777777" w:rsidTr="005A4269">
        <w:tc>
          <w:tcPr>
            <w:tcW w:w="562" w:type="dxa"/>
          </w:tcPr>
          <w:p w14:paraId="42B3FC01" w14:textId="29143281" w:rsidR="0043643B" w:rsidRPr="00F725D0" w:rsidRDefault="0043643B">
            <w:pPr>
              <w:rPr>
                <w:b/>
                <w:bCs/>
              </w:rPr>
            </w:pPr>
            <w:r w:rsidRPr="00F725D0">
              <w:rPr>
                <w:b/>
                <w:bCs/>
              </w:rPr>
              <w:t>16.</w:t>
            </w:r>
          </w:p>
        </w:tc>
        <w:tc>
          <w:tcPr>
            <w:tcW w:w="8454" w:type="dxa"/>
          </w:tcPr>
          <w:p w14:paraId="75C6BCB7" w14:textId="77777777" w:rsidR="0043643B" w:rsidRDefault="0043643B" w:rsidP="0043643B">
            <w:pPr>
              <w:rPr>
                <w:b/>
                <w:bCs/>
              </w:rPr>
            </w:pPr>
            <w:r w:rsidRPr="00074919">
              <w:rPr>
                <w:b/>
                <w:bCs/>
              </w:rPr>
              <w:t>GOVERNOR/TRUSTEE MONITORING, DEVELOPMENT AND TRAINING</w:t>
            </w:r>
          </w:p>
          <w:p w14:paraId="31315061" w14:textId="77777777" w:rsidR="00074919" w:rsidRPr="00074919" w:rsidRDefault="00074919" w:rsidP="0043643B">
            <w:pPr>
              <w:rPr>
                <w:b/>
                <w:bCs/>
              </w:rPr>
            </w:pPr>
          </w:p>
          <w:p w14:paraId="48C36DF8" w14:textId="41C6FDE0" w:rsidR="0043643B" w:rsidRDefault="0043643B" w:rsidP="0043643B">
            <w:pPr>
              <w:pStyle w:val="ListParagraph"/>
              <w:numPr>
                <w:ilvl w:val="0"/>
                <w:numId w:val="3"/>
              </w:numPr>
            </w:pPr>
            <w:r>
              <w:t>To receive and evaluate any reports from governors/trustees who have undertaken monitoring visits to school (these may be discussed as part of separate relevant agenda items i.e. SEND review, or Safeguarding review).</w:t>
            </w:r>
          </w:p>
          <w:p w14:paraId="0C5EA853" w14:textId="20601274" w:rsidR="0043643B" w:rsidRDefault="0043643B" w:rsidP="0043643B">
            <w:pPr>
              <w:pStyle w:val="ListParagraph"/>
              <w:numPr>
                <w:ilvl w:val="0"/>
                <w:numId w:val="3"/>
              </w:numPr>
            </w:pPr>
            <w:r>
              <w:lastRenderedPageBreak/>
              <w:t>To receive a report from the Training Link Governor/Trustee.</w:t>
            </w:r>
          </w:p>
          <w:p w14:paraId="266C3AD7" w14:textId="6779DD56" w:rsidR="0043643B" w:rsidRDefault="0043643B" w:rsidP="0043643B">
            <w:pPr>
              <w:pStyle w:val="ListParagraph"/>
              <w:numPr>
                <w:ilvl w:val="0"/>
                <w:numId w:val="3"/>
              </w:numPr>
            </w:pPr>
            <w:r w:rsidRPr="00C12969">
              <w:t xml:space="preserve">To </w:t>
            </w:r>
            <w:r>
              <w:t>discuss the</w:t>
            </w:r>
            <w:r w:rsidRPr="00C12969">
              <w:t xml:space="preserve"> impact of all training undertaken</w:t>
            </w:r>
            <w:r>
              <w:t xml:space="preserve"> and identify/set new training needs for next academic year</w:t>
            </w:r>
          </w:p>
          <w:p w14:paraId="0DD79A5E" w14:textId="5A2DBA65" w:rsidR="005A4269" w:rsidRDefault="005A4269" w:rsidP="0043643B"/>
        </w:tc>
      </w:tr>
      <w:tr w:rsidR="002625D9" w14:paraId="0BD3C441" w14:textId="77777777" w:rsidTr="005A4269">
        <w:tc>
          <w:tcPr>
            <w:tcW w:w="562" w:type="dxa"/>
          </w:tcPr>
          <w:p w14:paraId="31ED536A" w14:textId="357642DF" w:rsidR="002625D9" w:rsidRPr="00F725D0" w:rsidRDefault="002625D9">
            <w:pPr>
              <w:rPr>
                <w:b/>
                <w:bCs/>
              </w:rPr>
            </w:pPr>
            <w:r w:rsidRPr="00F725D0">
              <w:rPr>
                <w:b/>
                <w:bCs/>
              </w:rPr>
              <w:lastRenderedPageBreak/>
              <w:t>17.</w:t>
            </w:r>
          </w:p>
        </w:tc>
        <w:tc>
          <w:tcPr>
            <w:tcW w:w="8454" w:type="dxa"/>
          </w:tcPr>
          <w:p w14:paraId="5E3B4EFF" w14:textId="77777777" w:rsidR="002625D9" w:rsidRPr="00074919" w:rsidRDefault="002625D9" w:rsidP="0043643B">
            <w:pPr>
              <w:rPr>
                <w:b/>
                <w:bCs/>
              </w:rPr>
            </w:pPr>
            <w:r w:rsidRPr="00074919">
              <w:rPr>
                <w:b/>
                <w:bCs/>
              </w:rPr>
              <w:t>DATES/TIMES OF FUTURE MEETINGS</w:t>
            </w:r>
          </w:p>
          <w:p w14:paraId="7471F90C" w14:textId="77777777" w:rsidR="00074919" w:rsidRDefault="002625D9" w:rsidP="0043643B">
            <w:r>
              <w:t>To agree dates/times for meetings of Committees and Governing Board for the 2024/25 academic year. As far as possible, meetings should be planned to fit with external deadlines and data drops so that meetings are as worthwhile as possible.</w:t>
            </w:r>
          </w:p>
          <w:p w14:paraId="78A5CDC4" w14:textId="45276795" w:rsidR="009607EC" w:rsidRDefault="009607EC" w:rsidP="0043643B"/>
        </w:tc>
      </w:tr>
      <w:tr w:rsidR="002625D9" w14:paraId="67A40614" w14:textId="77777777" w:rsidTr="005A4269">
        <w:tc>
          <w:tcPr>
            <w:tcW w:w="562" w:type="dxa"/>
          </w:tcPr>
          <w:p w14:paraId="5FF70095" w14:textId="3092FCD3" w:rsidR="002625D9" w:rsidRPr="00F725D0" w:rsidRDefault="002625D9">
            <w:pPr>
              <w:rPr>
                <w:b/>
                <w:bCs/>
              </w:rPr>
            </w:pPr>
            <w:r w:rsidRPr="00F725D0">
              <w:rPr>
                <w:b/>
                <w:bCs/>
              </w:rPr>
              <w:t xml:space="preserve">18. </w:t>
            </w:r>
          </w:p>
        </w:tc>
        <w:tc>
          <w:tcPr>
            <w:tcW w:w="8454" w:type="dxa"/>
          </w:tcPr>
          <w:p w14:paraId="7F8812C5" w14:textId="77777777" w:rsidR="002625D9" w:rsidRDefault="002625D9" w:rsidP="0043643B">
            <w:pPr>
              <w:rPr>
                <w:b/>
                <w:bCs/>
              </w:rPr>
            </w:pPr>
            <w:r w:rsidRPr="00074919">
              <w:rPr>
                <w:b/>
                <w:bCs/>
              </w:rPr>
              <w:t>ANY OTHER BUSINESS</w:t>
            </w:r>
          </w:p>
          <w:p w14:paraId="3397B0D6" w14:textId="77777777" w:rsidR="00074919" w:rsidRPr="00074919" w:rsidRDefault="00074919" w:rsidP="0043643B">
            <w:pPr>
              <w:rPr>
                <w:b/>
                <w:bCs/>
              </w:rPr>
            </w:pPr>
          </w:p>
          <w:p w14:paraId="0EBFD011" w14:textId="77777777" w:rsidR="002625D9" w:rsidRPr="00074919" w:rsidRDefault="002625D9" w:rsidP="0043643B">
            <w:pPr>
              <w:rPr>
                <w:i/>
                <w:iCs/>
                <w:sz w:val="22"/>
                <w:szCs w:val="22"/>
              </w:rPr>
            </w:pPr>
            <w:r w:rsidRPr="00074919">
              <w:rPr>
                <w:i/>
                <w:iCs/>
                <w:sz w:val="22"/>
                <w:szCs w:val="22"/>
              </w:rPr>
              <w:t>(Items to be raised under ‘Any Other Business’ must be notified to the Clerk/Governance Professional in advance of the meeting)</w:t>
            </w:r>
          </w:p>
          <w:p w14:paraId="1744C809" w14:textId="77777777" w:rsidR="002625D9" w:rsidRDefault="002625D9" w:rsidP="0043643B"/>
          <w:p w14:paraId="433A52C8" w14:textId="77777777" w:rsidR="00074919" w:rsidRDefault="00074919" w:rsidP="0043643B"/>
          <w:p w14:paraId="79DA118A" w14:textId="77777777" w:rsidR="009607EC" w:rsidRDefault="009607EC" w:rsidP="0043643B"/>
          <w:p w14:paraId="511656BE" w14:textId="77777777" w:rsidR="009607EC" w:rsidRDefault="009607EC" w:rsidP="0043643B"/>
          <w:p w14:paraId="6F0ACCF2" w14:textId="77777777" w:rsidR="009607EC" w:rsidRDefault="009607EC" w:rsidP="0043643B"/>
          <w:p w14:paraId="5C3F6E03" w14:textId="77777777" w:rsidR="00074919" w:rsidRDefault="00074919" w:rsidP="0043643B"/>
          <w:p w14:paraId="4C343B68" w14:textId="77777777" w:rsidR="00A25E34" w:rsidRDefault="00A25E34" w:rsidP="0043643B"/>
          <w:p w14:paraId="16844B70" w14:textId="77777777" w:rsidR="00A25E34" w:rsidRDefault="00A25E34" w:rsidP="0043643B"/>
          <w:p w14:paraId="235DCCB5" w14:textId="77777777" w:rsidR="00A25E34" w:rsidRDefault="00A25E34" w:rsidP="0043643B"/>
          <w:p w14:paraId="1DC3D235" w14:textId="77777777" w:rsidR="00A25E34" w:rsidRDefault="00A25E34" w:rsidP="0043643B"/>
          <w:p w14:paraId="21D88173" w14:textId="77777777" w:rsidR="00A25E34" w:rsidRDefault="00A25E34" w:rsidP="0043643B"/>
          <w:p w14:paraId="14C97051" w14:textId="77777777" w:rsidR="00A25E34" w:rsidRDefault="00A25E34" w:rsidP="0043643B"/>
          <w:p w14:paraId="3CD7DD55" w14:textId="77777777" w:rsidR="00A25E34" w:rsidRDefault="00A25E34" w:rsidP="0043643B"/>
          <w:p w14:paraId="450FF684" w14:textId="77777777" w:rsidR="00A25E34" w:rsidRDefault="00A25E34" w:rsidP="0043643B"/>
          <w:p w14:paraId="5CA702AC" w14:textId="77777777" w:rsidR="00A25E34" w:rsidRDefault="00A25E34" w:rsidP="0043643B"/>
          <w:p w14:paraId="3F19E134" w14:textId="77777777" w:rsidR="00A25E34" w:rsidRDefault="00A25E34" w:rsidP="0043643B"/>
          <w:p w14:paraId="04ABF46C" w14:textId="77777777" w:rsidR="00A25E34" w:rsidRDefault="00A25E34" w:rsidP="0043643B"/>
          <w:p w14:paraId="6ABA2A5F" w14:textId="77777777" w:rsidR="00A25E34" w:rsidRDefault="00A25E34" w:rsidP="0043643B"/>
          <w:p w14:paraId="0D9E7825" w14:textId="77777777" w:rsidR="00A25E34" w:rsidRDefault="00A25E34" w:rsidP="0043643B"/>
          <w:p w14:paraId="5F05D2AA" w14:textId="77777777" w:rsidR="00A25E34" w:rsidRDefault="00A25E34" w:rsidP="0043643B"/>
          <w:p w14:paraId="3FB59478" w14:textId="77777777" w:rsidR="00A25E34" w:rsidRDefault="00A25E34" w:rsidP="0043643B"/>
          <w:p w14:paraId="0634A67C" w14:textId="77777777" w:rsidR="00A25E34" w:rsidRDefault="00A25E34" w:rsidP="0043643B"/>
          <w:p w14:paraId="34D5848A" w14:textId="77777777" w:rsidR="00A25E34" w:rsidRDefault="00A25E34" w:rsidP="0043643B"/>
          <w:p w14:paraId="07FEEE1A" w14:textId="77777777" w:rsidR="00A25E34" w:rsidRDefault="00A25E34" w:rsidP="0043643B"/>
          <w:p w14:paraId="75F6C1C8" w14:textId="77777777" w:rsidR="00A25E34" w:rsidRDefault="00A25E34" w:rsidP="0043643B"/>
          <w:p w14:paraId="24B7ABF7" w14:textId="77777777" w:rsidR="00A25E34" w:rsidRDefault="00A25E34" w:rsidP="0043643B"/>
          <w:p w14:paraId="0DF8FBFC" w14:textId="77777777" w:rsidR="00A25E34" w:rsidRDefault="00A25E34" w:rsidP="0043643B"/>
          <w:p w14:paraId="25D813BE" w14:textId="77777777" w:rsidR="002625D9" w:rsidRPr="00074919" w:rsidRDefault="002625D9" w:rsidP="0043643B">
            <w:pPr>
              <w:rPr>
                <w:b/>
                <w:bCs/>
              </w:rPr>
            </w:pPr>
            <w:r w:rsidRPr="00074919">
              <w:rPr>
                <w:b/>
                <w:bCs/>
              </w:rPr>
              <w:t>Financial matters (academies)</w:t>
            </w:r>
          </w:p>
          <w:p w14:paraId="04878107" w14:textId="77777777" w:rsidR="002625D9" w:rsidRPr="00074919" w:rsidRDefault="002625D9" w:rsidP="002625D9">
            <w:pPr>
              <w:pStyle w:val="ListParagraph"/>
              <w:numPr>
                <w:ilvl w:val="0"/>
                <w:numId w:val="4"/>
              </w:numPr>
            </w:pPr>
            <w:r w:rsidRPr="00074919">
              <w:t>Budget Forecast Return (BFR) deadline for submission is 29 August 2024</w:t>
            </w:r>
          </w:p>
          <w:p w14:paraId="7EF1CAFA" w14:textId="153ED370" w:rsidR="002625D9" w:rsidRPr="00074919" w:rsidRDefault="00BC273A" w:rsidP="002625D9">
            <w:pPr>
              <w:pStyle w:val="ListParagraph"/>
              <w:numPr>
                <w:ilvl w:val="0"/>
                <w:numId w:val="4"/>
              </w:numPr>
            </w:pPr>
            <w:hyperlink r:id="rId9" w:history="1">
              <w:r w:rsidR="002625D9" w:rsidRPr="00074919">
                <w:rPr>
                  <w:rStyle w:val="Hyperlink"/>
                </w:rPr>
                <w:t>Academies Accounts Direction (ADD) 2023 to 2024</w:t>
              </w:r>
            </w:hyperlink>
          </w:p>
          <w:p w14:paraId="543E5F96" w14:textId="77777777" w:rsidR="002625D9" w:rsidRPr="00074919" w:rsidRDefault="002625D9" w:rsidP="002625D9">
            <w:pPr>
              <w:pStyle w:val="ListParagraph"/>
              <w:numPr>
                <w:ilvl w:val="0"/>
                <w:numId w:val="4"/>
              </w:numPr>
            </w:pPr>
            <w:r w:rsidRPr="00074919">
              <w:t>Academies Trust Handbook 2024 publication is delayed</w:t>
            </w:r>
          </w:p>
          <w:p w14:paraId="764F10AA" w14:textId="6BF916CC" w:rsidR="002625D9" w:rsidRPr="00074919" w:rsidRDefault="00BC273A" w:rsidP="002625D9">
            <w:pPr>
              <w:pStyle w:val="ListParagraph"/>
              <w:numPr>
                <w:ilvl w:val="0"/>
                <w:numId w:val="4"/>
              </w:numPr>
            </w:pPr>
            <w:hyperlink r:id="rId10" w:history="1">
              <w:r w:rsidR="002625D9" w:rsidRPr="00074919">
                <w:rPr>
                  <w:rStyle w:val="Hyperlink"/>
                </w:rPr>
                <w:t>Letter to Accounting Officers</w:t>
              </w:r>
            </w:hyperlink>
            <w:r w:rsidR="002625D9" w:rsidRPr="00074919">
              <w:t xml:space="preserve"> </w:t>
            </w:r>
          </w:p>
          <w:p w14:paraId="4BFAD342" w14:textId="0A086109" w:rsidR="002625D9" w:rsidRPr="00074919" w:rsidRDefault="00BC273A" w:rsidP="002625D9">
            <w:pPr>
              <w:pStyle w:val="ListParagraph"/>
              <w:numPr>
                <w:ilvl w:val="0"/>
                <w:numId w:val="4"/>
              </w:numPr>
            </w:pPr>
            <w:hyperlink r:id="rId11" w:history="1">
              <w:r w:rsidR="002625D9" w:rsidRPr="00074919">
                <w:rPr>
                  <w:rStyle w:val="Hyperlink"/>
                </w:rPr>
                <w:t>Benchmarking</w:t>
              </w:r>
            </w:hyperlink>
          </w:p>
          <w:p w14:paraId="60EA812B" w14:textId="6311E04C" w:rsidR="002625D9" w:rsidRPr="00074919" w:rsidRDefault="002625D9" w:rsidP="002625D9">
            <w:pPr>
              <w:pStyle w:val="ListParagraph"/>
              <w:numPr>
                <w:ilvl w:val="0"/>
                <w:numId w:val="4"/>
              </w:numPr>
            </w:pPr>
            <w:r w:rsidRPr="00074919">
              <w:t xml:space="preserve">CIF outcome </w:t>
            </w:r>
          </w:p>
          <w:p w14:paraId="222C016D" w14:textId="77777777" w:rsidR="002625D9" w:rsidRPr="00074919" w:rsidRDefault="002625D9" w:rsidP="002625D9">
            <w:pPr>
              <w:pStyle w:val="ListParagraph"/>
              <w:numPr>
                <w:ilvl w:val="0"/>
                <w:numId w:val="4"/>
              </w:numPr>
            </w:pPr>
            <w:r w:rsidRPr="00074919">
              <w:t>Contract Review (should be annual)</w:t>
            </w:r>
          </w:p>
          <w:p w14:paraId="376A6B40" w14:textId="77777777" w:rsidR="002625D9" w:rsidRPr="00074919" w:rsidRDefault="002625D9" w:rsidP="002625D9"/>
          <w:p w14:paraId="53AA7EAA" w14:textId="77777777" w:rsidR="002625D9" w:rsidRPr="00074919" w:rsidRDefault="002625D9" w:rsidP="002625D9">
            <w:pPr>
              <w:rPr>
                <w:b/>
                <w:bCs/>
              </w:rPr>
            </w:pPr>
            <w:r w:rsidRPr="00074919">
              <w:rPr>
                <w:b/>
                <w:bCs/>
              </w:rPr>
              <w:t>Financial matters (maintained schools)</w:t>
            </w:r>
          </w:p>
          <w:p w14:paraId="3ECB1E09" w14:textId="77777777" w:rsidR="002625D9" w:rsidRPr="00074919" w:rsidRDefault="002625D9" w:rsidP="002625D9">
            <w:pPr>
              <w:pStyle w:val="ListParagraph"/>
              <w:numPr>
                <w:ilvl w:val="0"/>
                <w:numId w:val="5"/>
              </w:numPr>
              <w:spacing w:after="200" w:line="276" w:lineRule="auto"/>
            </w:pPr>
            <w:r w:rsidRPr="00074919">
              <w:t>Reconciliation statement/financial update/virements</w:t>
            </w:r>
          </w:p>
          <w:p w14:paraId="114C113F" w14:textId="77777777" w:rsidR="002625D9" w:rsidRPr="00074919" w:rsidRDefault="002625D9" w:rsidP="002625D9">
            <w:pPr>
              <w:pStyle w:val="ListParagraph"/>
              <w:numPr>
                <w:ilvl w:val="0"/>
                <w:numId w:val="5"/>
              </w:numPr>
              <w:spacing w:after="200" w:line="276" w:lineRule="auto"/>
            </w:pPr>
            <w:r w:rsidRPr="00074919">
              <w:t xml:space="preserve">Benchmarking: utilities and premises expenditure </w:t>
            </w:r>
          </w:p>
          <w:p w14:paraId="2E3E466D" w14:textId="77777777" w:rsidR="002625D9" w:rsidRPr="00074919" w:rsidRDefault="002625D9" w:rsidP="002625D9">
            <w:pPr>
              <w:pStyle w:val="ListParagraph"/>
              <w:numPr>
                <w:ilvl w:val="0"/>
                <w:numId w:val="5"/>
              </w:numPr>
              <w:spacing w:after="200" w:line="276" w:lineRule="auto"/>
            </w:pPr>
            <w:r w:rsidRPr="00074919">
              <w:t>School Private Fund update</w:t>
            </w:r>
          </w:p>
          <w:p w14:paraId="26208157" w14:textId="77777777" w:rsidR="002625D9" w:rsidRPr="00074919" w:rsidRDefault="002625D9" w:rsidP="002625D9">
            <w:pPr>
              <w:pStyle w:val="ListParagraph"/>
              <w:numPr>
                <w:ilvl w:val="0"/>
                <w:numId w:val="5"/>
              </w:numPr>
              <w:spacing w:after="200" w:line="276" w:lineRule="auto"/>
            </w:pPr>
            <w:r w:rsidRPr="00074919">
              <w:t>Trading accounts update – catering, breakfast club, childcare etc.</w:t>
            </w:r>
          </w:p>
          <w:p w14:paraId="480EB3DB" w14:textId="77777777" w:rsidR="002625D9" w:rsidRPr="00074919" w:rsidRDefault="002625D9" w:rsidP="002625D9">
            <w:pPr>
              <w:pStyle w:val="ListParagraph"/>
              <w:numPr>
                <w:ilvl w:val="0"/>
                <w:numId w:val="5"/>
              </w:numPr>
              <w:spacing w:after="200" w:line="276" w:lineRule="auto"/>
            </w:pPr>
            <w:r w:rsidRPr="00074919">
              <w:t>Best Value Statement – good practice and evidence for SFVS (Schools Financial Value Standard)</w:t>
            </w:r>
          </w:p>
          <w:p w14:paraId="5118BA1C" w14:textId="77777777" w:rsidR="002625D9" w:rsidRPr="00074919" w:rsidRDefault="002625D9" w:rsidP="002625D9">
            <w:pPr>
              <w:rPr>
                <w:b/>
                <w:bCs/>
              </w:rPr>
            </w:pPr>
            <w:r w:rsidRPr="00074919">
              <w:rPr>
                <w:b/>
                <w:bCs/>
              </w:rPr>
              <w:t>Also consider</w:t>
            </w:r>
          </w:p>
          <w:p w14:paraId="3BA916C2" w14:textId="77777777" w:rsidR="002625D9" w:rsidRPr="00074919" w:rsidRDefault="002625D9" w:rsidP="002625D9">
            <w:pPr>
              <w:pStyle w:val="ListParagraph"/>
              <w:numPr>
                <w:ilvl w:val="0"/>
                <w:numId w:val="6"/>
              </w:numPr>
            </w:pPr>
            <w:r w:rsidRPr="00074919">
              <w:t>Premises report</w:t>
            </w:r>
          </w:p>
          <w:p w14:paraId="41FCC2FF" w14:textId="77777777" w:rsidR="002625D9" w:rsidRPr="00074919" w:rsidRDefault="002625D9" w:rsidP="002625D9">
            <w:pPr>
              <w:pStyle w:val="ListParagraph"/>
              <w:numPr>
                <w:ilvl w:val="0"/>
                <w:numId w:val="6"/>
              </w:numPr>
            </w:pPr>
            <w:r w:rsidRPr="00074919">
              <w:t xml:space="preserve">Health &amp; Safety report </w:t>
            </w:r>
          </w:p>
          <w:p w14:paraId="62DD9548" w14:textId="3CB024E4" w:rsidR="00DA20A7" w:rsidRPr="00074919" w:rsidRDefault="00DA20A7" w:rsidP="002625D9">
            <w:pPr>
              <w:pStyle w:val="ListParagraph"/>
              <w:numPr>
                <w:ilvl w:val="0"/>
                <w:numId w:val="6"/>
              </w:numPr>
            </w:pPr>
            <w:r w:rsidRPr="00074919">
              <w:t>Sustainability (where would that f</w:t>
            </w:r>
            <w:r w:rsidR="000821E8">
              <w:t>ea</w:t>
            </w:r>
            <w:r w:rsidRPr="00074919">
              <w:t>ture)</w:t>
            </w:r>
          </w:p>
          <w:p w14:paraId="5CA23274" w14:textId="0B8EE68C" w:rsidR="00DA20A7" w:rsidRPr="00074919" w:rsidRDefault="00BC273A" w:rsidP="002625D9">
            <w:pPr>
              <w:pStyle w:val="ListParagraph"/>
              <w:numPr>
                <w:ilvl w:val="0"/>
                <w:numId w:val="6"/>
              </w:numPr>
            </w:pPr>
            <w:hyperlink r:id="rId12" w:history="1">
              <w:r w:rsidR="00DA20A7" w:rsidRPr="00074919">
                <w:rPr>
                  <w:rStyle w:val="Hyperlink"/>
                </w:rPr>
                <w:t xml:space="preserve">Attendance </w:t>
              </w:r>
              <w:r w:rsidR="00F725D0" w:rsidRPr="00074919">
                <w:rPr>
                  <w:rStyle w:val="Hyperlink"/>
                </w:rPr>
                <w:t>– new mandatory guidance</w:t>
              </w:r>
            </w:hyperlink>
            <w:r w:rsidR="00F725D0" w:rsidRPr="00074919">
              <w:t xml:space="preserve"> </w:t>
            </w:r>
          </w:p>
          <w:p w14:paraId="36212FF1" w14:textId="05C41806" w:rsidR="00F725D0" w:rsidRPr="00074919" w:rsidRDefault="00BC273A" w:rsidP="00F725D0">
            <w:pPr>
              <w:pStyle w:val="ListParagraph"/>
              <w:numPr>
                <w:ilvl w:val="0"/>
                <w:numId w:val="6"/>
              </w:numPr>
            </w:pPr>
            <w:hyperlink r:id="rId13" w:history="1">
              <w:r w:rsidR="00F725D0" w:rsidRPr="00074919">
                <w:rPr>
                  <w:rStyle w:val="Hyperlink"/>
                </w:rPr>
                <w:t>RSE statutory guidance consultation</w:t>
              </w:r>
            </w:hyperlink>
          </w:p>
          <w:p w14:paraId="21DE4905" w14:textId="35A62282" w:rsidR="00F725D0" w:rsidRDefault="00F725D0" w:rsidP="00F725D0">
            <w:pPr>
              <w:pStyle w:val="ListParagraph"/>
            </w:pPr>
          </w:p>
        </w:tc>
      </w:tr>
    </w:tbl>
    <w:p w14:paraId="68B61705" w14:textId="77777777" w:rsidR="00F40A72" w:rsidRDefault="00F40A72"/>
    <w:sectPr w:rsidR="00F40A72">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FCD33" w14:textId="77777777" w:rsidR="00BC273A" w:rsidRDefault="00BC273A" w:rsidP="00D7645F">
      <w:r>
        <w:separator/>
      </w:r>
    </w:p>
  </w:endnote>
  <w:endnote w:type="continuationSeparator" w:id="0">
    <w:p w14:paraId="505850EB" w14:textId="77777777" w:rsidR="00BC273A" w:rsidRDefault="00BC273A" w:rsidP="00D7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40324410"/>
      <w:docPartObj>
        <w:docPartGallery w:val="Page Numbers (Bottom of Page)"/>
        <w:docPartUnique/>
      </w:docPartObj>
    </w:sdtPr>
    <w:sdtEndPr>
      <w:rPr>
        <w:rStyle w:val="PageNumber"/>
      </w:rPr>
    </w:sdtEndPr>
    <w:sdtContent>
      <w:p w14:paraId="32F8C18A" w14:textId="18D8316B" w:rsidR="00D7645F" w:rsidRDefault="00D7645F" w:rsidP="003A61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674617" w14:textId="77777777" w:rsidR="00D7645F" w:rsidRDefault="00D76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31282964"/>
      <w:docPartObj>
        <w:docPartGallery w:val="Page Numbers (Bottom of Page)"/>
        <w:docPartUnique/>
      </w:docPartObj>
    </w:sdtPr>
    <w:sdtEndPr>
      <w:rPr>
        <w:rStyle w:val="PageNumber"/>
      </w:rPr>
    </w:sdtEndPr>
    <w:sdtContent>
      <w:p w14:paraId="671FC01C" w14:textId="00DA132E" w:rsidR="00D7645F" w:rsidRDefault="00D7645F" w:rsidP="003A61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D5920">
          <w:rPr>
            <w:rStyle w:val="PageNumber"/>
            <w:noProof/>
          </w:rPr>
          <w:t>5</w:t>
        </w:r>
        <w:r>
          <w:rPr>
            <w:rStyle w:val="PageNumber"/>
          </w:rPr>
          <w:fldChar w:fldCharType="end"/>
        </w:r>
      </w:p>
    </w:sdtContent>
  </w:sdt>
  <w:p w14:paraId="7C731CAB" w14:textId="77777777" w:rsidR="00D7645F" w:rsidRDefault="00D7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0348E" w14:textId="77777777" w:rsidR="00BC273A" w:rsidRDefault="00BC273A" w:rsidP="00D7645F">
      <w:r>
        <w:separator/>
      </w:r>
    </w:p>
  </w:footnote>
  <w:footnote w:type="continuationSeparator" w:id="0">
    <w:p w14:paraId="6B2F5679" w14:textId="77777777" w:rsidR="00BC273A" w:rsidRDefault="00BC273A" w:rsidP="00D7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A8A"/>
    <w:multiLevelType w:val="hybridMultilevel"/>
    <w:tmpl w:val="9AB0B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53678"/>
    <w:multiLevelType w:val="hybridMultilevel"/>
    <w:tmpl w:val="BE9C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75D6A"/>
    <w:multiLevelType w:val="hybridMultilevel"/>
    <w:tmpl w:val="EF0A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9B6D26"/>
    <w:multiLevelType w:val="hybridMultilevel"/>
    <w:tmpl w:val="28F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354850"/>
    <w:multiLevelType w:val="hybridMultilevel"/>
    <w:tmpl w:val="D67A8B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370EE8"/>
    <w:multiLevelType w:val="hybridMultilevel"/>
    <w:tmpl w:val="F89AAF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72"/>
    <w:rsid w:val="00017744"/>
    <w:rsid w:val="00020983"/>
    <w:rsid w:val="00047AE1"/>
    <w:rsid w:val="00074919"/>
    <w:rsid w:val="000821E8"/>
    <w:rsid w:val="0014160A"/>
    <w:rsid w:val="002625D9"/>
    <w:rsid w:val="002667AB"/>
    <w:rsid w:val="00293E78"/>
    <w:rsid w:val="002A3214"/>
    <w:rsid w:val="003E2EEE"/>
    <w:rsid w:val="0043643B"/>
    <w:rsid w:val="00437F13"/>
    <w:rsid w:val="004D629D"/>
    <w:rsid w:val="005340D1"/>
    <w:rsid w:val="005A4269"/>
    <w:rsid w:val="00791D4A"/>
    <w:rsid w:val="00794324"/>
    <w:rsid w:val="007C1F29"/>
    <w:rsid w:val="008478D6"/>
    <w:rsid w:val="008A07F1"/>
    <w:rsid w:val="009607EC"/>
    <w:rsid w:val="00A25E34"/>
    <w:rsid w:val="00B7170F"/>
    <w:rsid w:val="00BC273A"/>
    <w:rsid w:val="00CC6DA9"/>
    <w:rsid w:val="00CF2676"/>
    <w:rsid w:val="00D547E7"/>
    <w:rsid w:val="00D7645F"/>
    <w:rsid w:val="00DA20A7"/>
    <w:rsid w:val="00DB46EC"/>
    <w:rsid w:val="00E251E9"/>
    <w:rsid w:val="00E66231"/>
    <w:rsid w:val="00E84E99"/>
    <w:rsid w:val="00E9414C"/>
    <w:rsid w:val="00ED5920"/>
    <w:rsid w:val="00F40A72"/>
    <w:rsid w:val="00F7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A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0A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0A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0A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0A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0A7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0A7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0A7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0A7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A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0A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0A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0A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0A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0A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0A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0A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0A72"/>
    <w:rPr>
      <w:rFonts w:eastAsiaTheme="majorEastAsia" w:cstheme="majorBidi"/>
      <w:color w:val="272727" w:themeColor="text1" w:themeTint="D8"/>
    </w:rPr>
  </w:style>
  <w:style w:type="paragraph" w:styleId="Title">
    <w:name w:val="Title"/>
    <w:basedOn w:val="Normal"/>
    <w:next w:val="Normal"/>
    <w:link w:val="TitleChar"/>
    <w:uiPriority w:val="10"/>
    <w:qFormat/>
    <w:rsid w:val="00F40A7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A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0A7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0A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0A7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0A72"/>
    <w:rPr>
      <w:i/>
      <w:iCs/>
      <w:color w:val="404040" w:themeColor="text1" w:themeTint="BF"/>
    </w:rPr>
  </w:style>
  <w:style w:type="paragraph" w:styleId="ListParagraph">
    <w:name w:val="List Paragraph"/>
    <w:basedOn w:val="Normal"/>
    <w:uiPriority w:val="34"/>
    <w:qFormat/>
    <w:rsid w:val="00F40A72"/>
    <w:pPr>
      <w:ind w:left="720"/>
      <w:contextualSpacing/>
    </w:pPr>
  </w:style>
  <w:style w:type="character" w:styleId="IntenseEmphasis">
    <w:name w:val="Intense Emphasis"/>
    <w:basedOn w:val="DefaultParagraphFont"/>
    <w:uiPriority w:val="21"/>
    <w:qFormat/>
    <w:rsid w:val="00F40A72"/>
    <w:rPr>
      <w:i/>
      <w:iCs/>
      <w:color w:val="0F4761" w:themeColor="accent1" w:themeShade="BF"/>
    </w:rPr>
  </w:style>
  <w:style w:type="paragraph" w:styleId="IntenseQuote">
    <w:name w:val="Intense Quote"/>
    <w:basedOn w:val="Normal"/>
    <w:next w:val="Normal"/>
    <w:link w:val="IntenseQuoteChar"/>
    <w:uiPriority w:val="30"/>
    <w:qFormat/>
    <w:rsid w:val="00F40A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0A72"/>
    <w:rPr>
      <w:i/>
      <w:iCs/>
      <w:color w:val="0F4761" w:themeColor="accent1" w:themeShade="BF"/>
    </w:rPr>
  </w:style>
  <w:style w:type="character" w:styleId="IntenseReference">
    <w:name w:val="Intense Reference"/>
    <w:basedOn w:val="DefaultParagraphFont"/>
    <w:uiPriority w:val="32"/>
    <w:qFormat/>
    <w:rsid w:val="00F40A72"/>
    <w:rPr>
      <w:b/>
      <w:bCs/>
      <w:smallCaps/>
      <w:color w:val="0F4761" w:themeColor="accent1" w:themeShade="BF"/>
      <w:spacing w:val="5"/>
    </w:rPr>
  </w:style>
  <w:style w:type="table" w:styleId="TableGrid">
    <w:name w:val="Table Grid"/>
    <w:basedOn w:val="TableNormal"/>
    <w:uiPriority w:val="39"/>
    <w:rsid w:val="00F4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160A"/>
    <w:rPr>
      <w:rFonts w:ascii="Arial" w:hAnsi="Arial" w:cs="Arial"/>
      <w:kern w:val="0"/>
      <w14:ligatures w14:val="none"/>
    </w:rPr>
  </w:style>
  <w:style w:type="character" w:styleId="Hyperlink">
    <w:name w:val="Hyperlink"/>
    <w:basedOn w:val="DefaultParagraphFont"/>
    <w:uiPriority w:val="99"/>
    <w:unhideWhenUsed/>
    <w:rsid w:val="00F725D0"/>
    <w:rPr>
      <w:color w:val="467886" w:themeColor="hyperlink"/>
      <w:u w:val="single"/>
    </w:rPr>
  </w:style>
  <w:style w:type="character" w:customStyle="1" w:styleId="UnresolvedMention">
    <w:name w:val="Unresolved Mention"/>
    <w:basedOn w:val="DefaultParagraphFont"/>
    <w:uiPriority w:val="99"/>
    <w:semiHidden/>
    <w:unhideWhenUsed/>
    <w:rsid w:val="00F725D0"/>
    <w:rPr>
      <w:color w:val="605E5C"/>
      <w:shd w:val="clear" w:color="auto" w:fill="E1DFDD"/>
    </w:rPr>
  </w:style>
  <w:style w:type="paragraph" w:styleId="Footer">
    <w:name w:val="footer"/>
    <w:basedOn w:val="Normal"/>
    <w:link w:val="FooterChar"/>
    <w:uiPriority w:val="99"/>
    <w:unhideWhenUsed/>
    <w:rsid w:val="00D7645F"/>
    <w:pPr>
      <w:tabs>
        <w:tab w:val="center" w:pos="4513"/>
        <w:tab w:val="right" w:pos="9026"/>
      </w:tabs>
    </w:pPr>
  </w:style>
  <w:style w:type="character" w:customStyle="1" w:styleId="FooterChar">
    <w:name w:val="Footer Char"/>
    <w:basedOn w:val="DefaultParagraphFont"/>
    <w:link w:val="Footer"/>
    <w:uiPriority w:val="99"/>
    <w:rsid w:val="00D7645F"/>
  </w:style>
  <w:style w:type="character" w:styleId="PageNumber">
    <w:name w:val="page number"/>
    <w:basedOn w:val="DefaultParagraphFont"/>
    <w:uiPriority w:val="99"/>
    <w:semiHidden/>
    <w:unhideWhenUsed/>
    <w:rsid w:val="00D76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A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0A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0A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0A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0A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0A7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0A7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0A7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0A7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A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0A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0A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0A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0A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0A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0A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0A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0A72"/>
    <w:rPr>
      <w:rFonts w:eastAsiaTheme="majorEastAsia" w:cstheme="majorBidi"/>
      <w:color w:val="272727" w:themeColor="text1" w:themeTint="D8"/>
    </w:rPr>
  </w:style>
  <w:style w:type="paragraph" w:styleId="Title">
    <w:name w:val="Title"/>
    <w:basedOn w:val="Normal"/>
    <w:next w:val="Normal"/>
    <w:link w:val="TitleChar"/>
    <w:uiPriority w:val="10"/>
    <w:qFormat/>
    <w:rsid w:val="00F40A7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A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0A7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0A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0A7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0A72"/>
    <w:rPr>
      <w:i/>
      <w:iCs/>
      <w:color w:val="404040" w:themeColor="text1" w:themeTint="BF"/>
    </w:rPr>
  </w:style>
  <w:style w:type="paragraph" w:styleId="ListParagraph">
    <w:name w:val="List Paragraph"/>
    <w:basedOn w:val="Normal"/>
    <w:uiPriority w:val="34"/>
    <w:qFormat/>
    <w:rsid w:val="00F40A72"/>
    <w:pPr>
      <w:ind w:left="720"/>
      <w:contextualSpacing/>
    </w:pPr>
  </w:style>
  <w:style w:type="character" w:styleId="IntenseEmphasis">
    <w:name w:val="Intense Emphasis"/>
    <w:basedOn w:val="DefaultParagraphFont"/>
    <w:uiPriority w:val="21"/>
    <w:qFormat/>
    <w:rsid w:val="00F40A72"/>
    <w:rPr>
      <w:i/>
      <w:iCs/>
      <w:color w:val="0F4761" w:themeColor="accent1" w:themeShade="BF"/>
    </w:rPr>
  </w:style>
  <w:style w:type="paragraph" w:styleId="IntenseQuote">
    <w:name w:val="Intense Quote"/>
    <w:basedOn w:val="Normal"/>
    <w:next w:val="Normal"/>
    <w:link w:val="IntenseQuoteChar"/>
    <w:uiPriority w:val="30"/>
    <w:qFormat/>
    <w:rsid w:val="00F40A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0A72"/>
    <w:rPr>
      <w:i/>
      <w:iCs/>
      <w:color w:val="0F4761" w:themeColor="accent1" w:themeShade="BF"/>
    </w:rPr>
  </w:style>
  <w:style w:type="character" w:styleId="IntenseReference">
    <w:name w:val="Intense Reference"/>
    <w:basedOn w:val="DefaultParagraphFont"/>
    <w:uiPriority w:val="32"/>
    <w:qFormat/>
    <w:rsid w:val="00F40A72"/>
    <w:rPr>
      <w:b/>
      <w:bCs/>
      <w:smallCaps/>
      <w:color w:val="0F4761" w:themeColor="accent1" w:themeShade="BF"/>
      <w:spacing w:val="5"/>
    </w:rPr>
  </w:style>
  <w:style w:type="table" w:styleId="TableGrid">
    <w:name w:val="Table Grid"/>
    <w:basedOn w:val="TableNormal"/>
    <w:uiPriority w:val="39"/>
    <w:rsid w:val="00F4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160A"/>
    <w:rPr>
      <w:rFonts w:ascii="Arial" w:hAnsi="Arial" w:cs="Arial"/>
      <w:kern w:val="0"/>
      <w14:ligatures w14:val="none"/>
    </w:rPr>
  </w:style>
  <w:style w:type="character" w:styleId="Hyperlink">
    <w:name w:val="Hyperlink"/>
    <w:basedOn w:val="DefaultParagraphFont"/>
    <w:uiPriority w:val="99"/>
    <w:unhideWhenUsed/>
    <w:rsid w:val="00F725D0"/>
    <w:rPr>
      <w:color w:val="467886" w:themeColor="hyperlink"/>
      <w:u w:val="single"/>
    </w:rPr>
  </w:style>
  <w:style w:type="character" w:customStyle="1" w:styleId="UnresolvedMention">
    <w:name w:val="Unresolved Mention"/>
    <w:basedOn w:val="DefaultParagraphFont"/>
    <w:uiPriority w:val="99"/>
    <w:semiHidden/>
    <w:unhideWhenUsed/>
    <w:rsid w:val="00F725D0"/>
    <w:rPr>
      <w:color w:val="605E5C"/>
      <w:shd w:val="clear" w:color="auto" w:fill="E1DFDD"/>
    </w:rPr>
  </w:style>
  <w:style w:type="paragraph" w:styleId="Footer">
    <w:name w:val="footer"/>
    <w:basedOn w:val="Normal"/>
    <w:link w:val="FooterChar"/>
    <w:uiPriority w:val="99"/>
    <w:unhideWhenUsed/>
    <w:rsid w:val="00D7645F"/>
    <w:pPr>
      <w:tabs>
        <w:tab w:val="center" w:pos="4513"/>
        <w:tab w:val="right" w:pos="9026"/>
      </w:tabs>
    </w:pPr>
  </w:style>
  <w:style w:type="character" w:customStyle="1" w:styleId="FooterChar">
    <w:name w:val="Footer Char"/>
    <w:basedOn w:val="DefaultParagraphFont"/>
    <w:link w:val="Footer"/>
    <w:uiPriority w:val="99"/>
    <w:rsid w:val="00D7645F"/>
  </w:style>
  <w:style w:type="character" w:styleId="PageNumber">
    <w:name w:val="page number"/>
    <w:basedOn w:val="DefaultParagraphFont"/>
    <w:uiPriority w:val="99"/>
    <w:semiHidden/>
    <w:unhideWhenUsed/>
    <w:rsid w:val="00D7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Bainbridge</dc:creator>
  <cp:lastModifiedBy>Bob Fuller</cp:lastModifiedBy>
  <cp:revision>2</cp:revision>
  <dcterms:created xsi:type="dcterms:W3CDTF">2024-06-17T08:13:00Z</dcterms:created>
  <dcterms:modified xsi:type="dcterms:W3CDTF">2024-06-17T08:13:00Z</dcterms:modified>
</cp:coreProperties>
</file>